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10D9" w:rsidRPr="00345C39" w:rsidRDefault="00AD10D9" w:rsidP="00345C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77 сессия КЗМС - 22-26 ноября 2021 г.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Семьдесят седьмая сессия Комитета по защите морской среды (MEPC 77) была проведена дистанционно с 22 по 26 ноября 2021 г.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Унифицированная интерпретация правил E-1.1.1 и E-1.1.5 Конвенции по управлению балластными водами/Конвенции </w:t>
      </w:r>
      <w:r w:rsidR="00D06D90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УБВ</w:t>
      </w:r>
    </w:p>
    <w:p w:rsidR="00AD10D9" w:rsidRPr="00345C39" w:rsidRDefault="00AD10D9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проект унифицированной интерпретации даты, которая должна использоваться для определения внедрения обязательного испытания при вводе в эксплуатацию отдельных систем управления балластными водами в соответствии с резолюцией MEPC.325(75).</w:t>
      </w:r>
    </w:p>
    <w:p w:rsidR="00AD10D9" w:rsidRPr="00345C39" w:rsidRDefault="00AD10D9" w:rsidP="007704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любом случае, на новых строящихся судах, к которым применимо правило E-1.1.1, или на существующих судах, осуществляющих переоборудование отдельной системы</w:t>
      </w:r>
      <w:r w:rsidR="003065A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(систем) управления балластными водами, к которым применимо правило E-1.1.5, должно быть проведено испытание при вводе в эксплуатацию отдельной системы УБВ, с учетом руководства, разработанного Организацией, если первоначальное или дополнительное освидетельствование завершено на 1 июня 2022 г. или после этой даты. Если первоначальное или дополнительное освидетельствование завершено до 1 июня 2022 г., испытание при вводе в эксплуатацию отдельной системы УБВ подпадает под особые требования Администрации(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ий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).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Применение Конвенции УБВ</w:t>
      </w:r>
      <w:r w:rsidR="009E23F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BWM</w:t>
      </w:r>
      <w:r w:rsidR="009E23F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 судам, эксплуатирующимся в портах с проблематичным качеством воды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причине значительного количества подлежащих решению вопросов, в ходе этой сессии 77 сессия КЗМС не смогла завершить проект циркуляра BWM.2 к Руководству по применению Конвенции 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УБВ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судам, эксплуатирующимся в портах с проблематичным качеством воды.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Некоторые делегации также сослались на этап получения опыта в ходе постройки (EBP) в плане того, что информация о внедрении такой практики могла бы быть добавлена в ЕВР; однако, было отмечено, что этап сбора данных по ЕВР завершен.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Руководства 2021 г. по системам очистки отработавших газов (Руководства EGCS 2021 г.)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приняла Руководство 2021 г. по системам очистки отработавших газов, подготовленн</w:t>
      </w:r>
      <w:r w:rsidR="002F02DF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 сессией Подкомитета ИМО по предупреждению загрязнения и реагированию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согласовала:</w:t>
      </w:r>
    </w:p>
    <w:p w:rsidR="00AD10D9" w:rsidRPr="00345C39" w:rsidRDefault="00BD4B47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Предложенный формат дат применения, т.е. связи между установкой системы очистки отработавших газов и датой закладки киля судна;</w:t>
      </w:r>
    </w:p>
    <w:p w:rsidR="00AD10D9" w:rsidRPr="00345C39" w:rsidRDefault="00BD4B47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Дата применения будет отсчитываться через шесть месяцев после принятия, а не 12 месяцев после даты принятия;</w:t>
      </w:r>
    </w:p>
    <w:p w:rsidR="00AD10D9" w:rsidRPr="00345C39" w:rsidRDefault="00BD4B47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Что Руководство 2021 г. по системам очистки отработанных газов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EGCS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будет применяться также к существующим системам очистки отработавших газов, к которым были приняты поправки к Техническому руководству EGCS (ETM) ETM-A или ETM-B на момент применения или после этой даты.</w:t>
      </w:r>
    </w:p>
    <w:p w:rsidR="00AD10D9" w:rsidRPr="00345C39" w:rsidRDefault="00AD10D9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 также ввел пункт 8.5 в проект Руководства EGCS 2021 г., в котором указывается, что Руководство по контролю измерительного оборудования на борту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OMM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должно быть одобрено Администрацией и должно находиться на борту при проведении освидетельствований для обеспечения соответствия требованиям применительно к другой документации по EGCS.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31A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 xml:space="preserve">Циркуляр КЗМС в отношении Руководства по индикации соответствия 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циркуляр MEPC.1/Circ.883/Rev.1 в отношении Руководства по индикации соответствия в случае выхода из строя одиночного устройства мониторинга и рекомендованных мер, которые должны быть приняты в случае, если системы очистки отработавших газов (EGCS) не соответствуют положениям Руководства EGCS, подготовленного 7 сессией Подкомитета PPR</w:t>
      </w:r>
      <w:r w:rsidR="002F02DF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прежде всего рассмотрела предложение сделать проект Руководства по индикации соответствия приложением к Руководству EGCS 2021 г., но в итоге согласилась оставить Руководство по индикации соответствия в качестве отдельного циркуляра.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согласилась также, что проект руководства был общим и относится не только к системам очистки отработавших газов, которые должны быть одобрены в соответствии с Руководством EGCS 2021 г., но также к системам, которые были одобрены в соответствии с Руководством EGCS 2009 г. и Руководством EGCS 2015 г.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Пересмотренное Руководство 2013 г. по рассмотрению технологий энергоэффективности для вычисления фактического конструктивного коэффициента энергоэффективности (EEDI/ККЭЭ)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одобрила Руководство 2021 г. по рассмотрению инновационных технологий энергоэффективности для вычисления и подтверждения фактического конструктивного коэффициента энергоэффективности (EEDI/ККЭЭ) и </w:t>
      </w:r>
      <w:r w:rsidR="009E23FB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фактического коэффициента энергоэффективности</w:t>
      </w:r>
      <w:r w:rsidR="009E23FB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для существующих судов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(EEXI/КЭСС).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связи с тем, что в настоящее время ведутся исследования и дальнейшая работа, которые могут быть включены в последующие версии руководства, 77 сессия КЗМС решила держать это Руководство под контролем в свете опыта, полученного в ходе его применения.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Обсуждение резолюции по укреплению целей Стратегии ИМО по сокращению выброса парниковых газов</w:t>
      </w:r>
      <w:r w:rsidR="009E23F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ПГ</w:t>
      </w:r>
      <w:r w:rsidR="009E23F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Для точного информирования судоходной индустрии о том, что выбросы ПГ должны достичь нулевой отметки не позднее 2050 г., и о том, что разрабатываются эффективные пути достижения этой цели, 77 сесси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КЗМС было предложено принять на этой сессии четкое комплексное заявление, в форме резолюции, о том, что Организация принимает решение о сокращении выбросов ПГ международным морским транспортом до нуля по меньшей мере к 2050 г.</w:t>
      </w:r>
    </w:p>
    <w:p w:rsidR="00E32725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Большинство делегаций согласились отложить принятие такой резолюции, возразив, что движение к уровню 2050 г. должно быть определено как часть стратегии ИМО в отношении парниковых газов, к 2023 г. 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Франция и другие участники высказались, что они разделяют цель и стремление авторов резолюции, но не видят сути принятия резолюции, рассматривающей различные уровни такого стремления в отрыве от других важных аспектов стратегии. Было бы предпочтительно сконцентрировать усилия на конкретных предложениях, а не на резолюции.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другие участники высказались, что они поддержали меры по сохранению климата, но выразили осторожность по поводу установления целей абсолютного сокращения в 2030 и 2040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г.г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 Любое пересмотренное стремление должно рассматриваться как часть пересмотра Стратегии и сопровождаться доскональным процессом рассмотрения, который должен оставаться инклюзивным для всех государств-участников, особенно развивающихся стран, включая малые островные развивающиеся государства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SIDS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наименее развитые страны</w:t>
      </w:r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LDCs</w:t>
      </w:r>
      <w:proofErr w:type="spellEnd"/>
      <w:r w:rsidR="009E23F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85043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для обеспечения справедливого и сбалансированного перехода.</w:t>
      </w:r>
    </w:p>
    <w:p w:rsidR="00E32725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Некоторые оппоненты подчеркнули, что предложенная резолюция не отвечает требованиям Рамочной конвенции ООН по изменению климата, Парижскому соглашению и Климатического пакта Глазго и не отража</w:t>
      </w:r>
      <w:r w:rsidR="008E25CF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 принципа «общих, но дифференцированных обязательств» и принципа объективности. 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Предложенная резолюция не отражает механизмов и мер, необходимых для достижения цели, и не рассматривает проблем финансирования, обоснованности, передачи технологии и укрепления потенциала развивающихся стран.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заключение, Комитет призвал государства-участники и международные организации к совместной работе и предложил представить конкретные предложения по пересмотренной Стратегии ИМО по Межсессионной рабочей группе по сокращению выбросов ПГ с судов для рассмотрения на 78 сессии КЗМС.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725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Отчет 9 Межсессионной рабочей группы по сокращению выбросов ПГ с судов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отметила ведение обсуждений и прогресс, достигнутый в ходе разработки проекта руководства по 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оценке выбросов ПГ в течение жизненного цикла топлива (</w:t>
      </w:r>
      <w:r w:rsidR="00A9456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LCA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 включая установленные приоритетные области для дальнейшего изучения до разработки руководства</w:t>
      </w:r>
      <w:r w:rsidR="00BD3DE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были отмечены обсуждения 9 Межсессионной рабочей группы по ПГ в отношении проскоков метана и то, что выбросы метана будут рассмотрены далее в контексте руководства по времени существования ПГ/интенсивности выброса углерода на 11 Межсессионной рабочей группе по ПГ.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A9456B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56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Отчет 10 Межсессионной рабочей группы по сокращению выбросов ПГ с судов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Комитету было предложено в целом одобрить отчет 10 Межсессионной рабочей группы по сокращению выбросов ПГ с судов и согласовать следующие моменты:</w:t>
      </w:r>
    </w:p>
    <w:p w:rsidR="00AD10D9" w:rsidRPr="00345C39" w:rsidRDefault="00E32725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Отметить срочность принятия незавершенного руководства, связанную с внедрением краткосрочных мер, на 78 сессии КЗМС для обеспечения достаточного времени судам, Администрациям и ПО для подготовки и внедрения краткосрочной меры при вступлении в силу в ноябре 2022 г.;</w:t>
      </w:r>
    </w:p>
    <w:p w:rsidR="00AD10D9" w:rsidRPr="00345C39" w:rsidRDefault="00E32725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Отметить обсуждение 10 Межсессионной рабочей группой по сокращению выбросов ПГ с судов диапазона и временных рамок разработки обязательной интенсивности выбросов углерода и точки зрения, что она является предварительной для обозначения возможного временного промежутка начала разработки кодекса и его объема;</w:t>
      </w:r>
    </w:p>
    <w:p w:rsidR="00AD10D9" w:rsidRPr="00345C39" w:rsidRDefault="00E32725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Отметить обсуждения того, как сохранить воздействия рассмотрения краткосрочной меры и использования накопленных знаний о комплексной оценке воздействия кратковременной меры;</w:t>
      </w:r>
    </w:p>
    <w:p w:rsidR="00AD10D9" w:rsidRPr="00345C39" w:rsidRDefault="00E32725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Предложить Секретариату ИМО поддерживать связь с Конференцией ООН по торговле и развитию (ЮНКТАД) на должном уровне для рассмотрения возможности обеспечения соответствующих данных и моделей;</w:t>
      </w:r>
    </w:p>
    <w:p w:rsidR="00AD10D9" w:rsidRPr="00345C39" w:rsidRDefault="00E32725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Побудить сторонников предлагаемых среднесрочны</w:t>
      </w:r>
      <w:r w:rsidR="00BD3DE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х мер, а также другие делегации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дальнейшему рассмотрению разработки/уточнения предложений по среднесрочным мерам для их рассмотрения в ходе Этапа I Плана работы.</w:t>
      </w:r>
    </w:p>
    <w:p w:rsidR="00E32725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также в целом согласовала предложение об установлении нового рабочего режима, удобного для выполнения огромного объема работы, относящегося ко всем этим вопросам. 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ходе работы 10 Межсессионной рабочей группы по сокращению выбросов ПГ с судов большинством делегаций было поддержано предложение впоследствии заменить Межсессионную рабочую группу по сокращению выбросов ПГ с судов постоянной технической группой по сокращению выбросов ПГ с судов (ST-GHG).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КЗМС предложил делегациям вынести на рассмотрение 12 Межсессионной рабочей группы по сокращению выбросов ПГ с судов вопрос об увеличении рабочей нагрузки и выборе альтернативного режима работы.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Обсуждение средне- и долгосрочных мер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Для эффективного продвижения следующего комплекса таких мер 76 сессия КЗМС одобрила план работы по разработке средне- и долгосрочны</w:t>
      </w:r>
      <w:r w:rsidR="00BD3DE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мер, которые на первом этапе предусматривают сопоставление и первоначальное рассмотрение предложений по мерам. Первый этап плана работы должен быть завершен весной 2022 г.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рассмотрела новое предложение от Маршалловых Островов и Соломоновых Островов (MEPC 77/7/4), которое переформулирует призывы к внедрению целей международного судоходства, соизмеримых с 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изменением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температуры, не превышающем 1,5</w:t>
      </w:r>
      <w:r w:rsidR="00BD3DE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°C, и установление универсального обязательного сбора за выброс парниковых газов.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Предложение по вводу сбора призвано обеспечить, чтобы стоимость обычных видов топлива возрастала постепенно, таким образом, виды топлива с низким уровнем выбросов будут закономерно становиться более конкурентоспособными. Размер сбора должен увеличиваться через регулярные интервалы, предложено пересматривать его каждые пять лет. Заложенные увеличения сбора дают морской судоходной индустрии и технологическим поставщикам уверенность в том, что от них требуется.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Предложенные необходимые требования для установления этой системы 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предлагается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включ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ить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новую главу 5 Приложения VI к МАРПОЛ, в которой по новому правилу 33.1 от каждого судна 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требуется оплатить взнос во время бункеровки. Сумма сбора будет выплачиваться в фонд, образованный в соответствии с резолюцией МЕРС, и этот платеж будет подтвержден Свидетельством о соответствии.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Такой сбор не является налогом или платежом, которые взимаются каким-либо государством, и государством не должны осуществляться какие-либо выплаты. Поскольку целью Международного фонда сборов за выброс парниковых газов (GHGF)</w:t>
      </w:r>
      <w:r w:rsidR="00BD3DE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является достижение принятых целей выбросов ПГ в международном судоходстве, Фонд предлагается разместить под эгидой ИМО, но с обеспечением возможности перенаправления средств в другие агентства для распределения. В представленном предложении предлагаемой организацией является Зеленый климатический фонд (GCF), созданный на основе Рамочной конвенции ООН об изменении климата в качестве эксплуатационной организации финансового механизма этой Конвенции. Для администрирования собранного дохода Организации предлагается создать Совет, состоящий из членов Комитета, включая малые островные развивающиеся государства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SIDS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наименее развитые страны (</w:t>
      </w:r>
      <w:proofErr w:type="spellStart"/>
      <w:r w:rsidR="00A9456B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LDCs</w:t>
      </w:r>
      <w:proofErr w:type="spellEnd"/>
      <w:r w:rsidR="00A9456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рассмотрела также предложение Норвегии (MEPC 77/7/16) в отношении ограничения интенсивности выбросов ПГ топлива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системы торговли квотами на выбросы ПГ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как комплекса средне- и долгосрочных мер. Комплекс мер устанавливает ограничение и стоимость выбросов ПГ с судов посредством продажи квот, в то время как интенсивность выбросов ПГ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устанавливает обязательное техническое требование. Все эти меры направлены на выработку концепции, обеспечивающей поставку и потребление устойчивых видов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Стоимость углерода делает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новые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виды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конкурентоспособными по отношению к обычным видам топлива, и в сочетании с техническим требованием гарантирует, что поставщики смогут наращивать производственный потенциал и инфраструктуру с уверенностью в наличии такой потребности: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Предел интенсивности выбросов ПГ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обеспечит то, что судоходству потребуется начать использовать устойчивые виды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и обеспечить достаточную предсказуемость инвестиций в поставку топлива и судовые технологии для использования таких видов топлива. Эта мера также будет способствовать тому, что международное судоходство будет учитывать намерения по сокращению интенсивности выбросов углерода.</w:t>
      </w:r>
    </w:p>
    <w:p w:rsidR="00AD10D9" w:rsidRPr="00345C39" w:rsidRDefault="00A912BA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Система торговли квотами на выбросы ПГ</w:t>
      </w:r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 сокращение общего количества выбросов ПГ и то, что международное судоходство будет соответствовать стремлению к сокращению выбросов к 2050 г., путем установления предела общих выбросов от судоходства. Система продажи выбросов будет стимулировать потребление устойчивых видов </w:t>
      </w:r>
      <w:proofErr w:type="spellStart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низкоуглеродного</w:t>
      </w:r>
      <w:proofErr w:type="spellEnd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безуглеродного</w:t>
      </w:r>
      <w:proofErr w:type="spellEnd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путем устранения ценового разрыва и конкурентного преимущества существующих обычных видов топлива. К тому же, создание каналов оплаты стоимости углерода в климатический фонд может способствовать действиям по сохранению климата в развивающихся странах и ускорению введения устойчивых видов </w:t>
      </w:r>
      <w:proofErr w:type="spellStart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низкоуглеродного</w:t>
      </w:r>
      <w:proofErr w:type="spellEnd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безуглеродного</w:t>
      </w:r>
      <w:proofErr w:type="spellEnd"/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и технологий, в частности, развитию производства топлива и потенциала инфраструктуры. Стоимость углерода, связанная с предельным значением, должна быть достаточно высокой для того, чтобы она была более привлекательной для судов в целях соответствия техническому требованию. Интенсивность выбросов ПГ с судов постепенно синхронизируется с увеличением требовательности к существующим судам. В некотором роде, все строящиеся суда будут ограничиваться предельным значением интенсивности выбросов ПГ, и в результате предельное значение для существующих судов будет таким же, как для строящихся судов.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мнением Норвегии, имеется ряд важных причин для перехода к системе торговли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квотами на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>ы ПГ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сравнению с системой, основанной на сборах: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Система торговли выбросами непосредственно диктует уровень выбросов, предназначенный для соответствия абсолютному уровню сокращения выбросов ПГ с судов, запланированному на 2050 г., в то время как сложно предположить, каковы будут последствия сбора за уровень выбросов.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Если сбор будет взиматься на судовое топливо, во многих случаях стоимость углерода будет оплачивать фрахтователь, и судовладелец сможет увидеть стоимость только косвенно. Это приведет к конфликту интересов, когда стоимость и экономия затрат не будут влиять на инвестиционные решения.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Международная палата судоходства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МПС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критически высказалась в отношении этих двух предложений. Необходимо напомнить, что МПС и INTERCARGO на предшествующих встречах представили исчерпывающий комплекс регулирующих мер для демонстрации того</w:t>
      </w:r>
      <w:r w:rsidR="00AA15F8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 сбор за выброс углерода, на основании обязательных отчислений ИМО на сохранение климата судами на тонну выбросов CO2, а также в Фонд ИМО по сохранению климата, может быть быстро введен в действие для ускорения потребления технологий и видов топлива с нулевым содержанием углерода, путем принятия новой главы Приложения VI к МАРПОЛ и разъяснением существующего предпочтения судоходной индустрии по отношению к системе, основанной на сборах.</w:t>
      </w:r>
    </w:p>
    <w:p w:rsidR="00AD10D9" w:rsidRPr="00345C39" w:rsidRDefault="00603B7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сомнения, выдвинутые МПС: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сроков внедрения МПС предлагает, чтобы решение «в принципе» </w:t>
      </w:r>
      <w:r w:rsidR="004B7A6D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не было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преждевременным и не согласованны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Планом работы по разработке средне- и долгосрочных мер, согласова</w:t>
      </w:r>
      <w:r w:rsidR="004B7A6D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ть его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76 сессии КЗМС, </w:t>
      </w:r>
      <w:r w:rsidR="004B7A6D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что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 весны 2022 г. требует «сопоставления и первоначального рассмотрения предложений по мерам».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Система торговли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квотами на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 сочетании с пределом выбросов ПГ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топлива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(или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системой рейтингов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углеродоемкости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судов CII) представляется излишне сложной и может привести к нарушению рыночного равновесия с непропорционально негативными последствиями для мировой торговли. Появилось предложение рекомендовать самой Организации установить собственную систему торговли выбросами по секторам.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случае системы торговли выбросами, последующая стоимость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>квот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содержанию углерода будет определяться рынком и ее трудно предположить, в особенности с точки зрения оценки того, как могут измениться воздействия на торговлю спустя значительный период времени. С другой стороны, сбор за содержание углерода будет иметь преимущество, поскольку будет иметься возможность проведения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всесторонней оценки экономического влияния на государства предложенного размера сбора за содержание углерода, включая влияние на развивающиеся страны и государства, расположенные на географическом удалении от рынков.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Норвегия предложила, чтобы «Количество единиц выбросов с судов было ограничено согласованным абсолютным значением, которое постепенно сокращается в сторону запланированного ИМО к 2050 г.». Но даже в случае незамедлительного и быстрого роста уровней технологической готовности к 2030 г., достижение согласованного уровня не будет полностью возмож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2050 г. В случае применения системы абсолютного ограничения и торговли выбросами может иметь место нормирование, которое будет осуществляться в будущем по всему миру вследствие недостатка имеющихся «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диниц выбросов с судов». Это потенциально приведет к возникновению серьезных воздействий на мировую торговлю и экономическое развитие, в особенности в случае увеличения текущего уровня в Первоначальной стратегии ИМО.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Изменчивая и непостоянная стоимость </w:t>
      </w:r>
      <w:r w:rsidR="00A912BA">
        <w:rPr>
          <w:rFonts w:ascii="Times New Roman" w:eastAsia="Times New Roman" w:hAnsi="Times New Roman" w:cs="Times New Roman"/>
          <w:sz w:val="24"/>
          <w:szCs w:val="24"/>
          <w:lang w:bidi="ru-RU"/>
        </w:rPr>
        <w:t>квот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содержанию углерода в условиях системы торговли </w:t>
      </w:r>
      <w:r w:rsidR="0035183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выбросами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приведет к значительному затруднению последующих инвестиционных решений в отношении размещения новых технологий нулевого содержания углерода.</w:t>
      </w:r>
    </w:p>
    <w:p w:rsidR="00AD10D9" w:rsidRPr="00345C39" w:rsidRDefault="00AD10D9" w:rsidP="00BD76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Предложение стран ЕС (MEPC 77/7/12) рекомендует ряд критериев оценки и сравнения мер по оцениванию наличия углерода, с учетом первостепенного значения, прежде всего, рассмотрения критериев, на основании которых рыночные меры могут быть оценены и сравнены.</w:t>
      </w:r>
    </w:p>
    <w:p w:rsidR="00AD10D9" w:rsidRPr="00345C39" w:rsidRDefault="00603B79" w:rsidP="00BD76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критерии: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Рыночные меры (МВМ) приведут к созданию в значительной степени эффективного, четкого и измеримого ответа на опасность изменения климата в форме сокращения выбросов ПГ;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Рыночные меры должны обозначить стоимость выбросов ПГ, которую нарушитель должен будет заплатить в принципе;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Рыночные меры должны ясно указывать рынку дальнейшее регулирование и сроки декарбонизации. Это будет способствовать формированию точной долгосрочной ценовой тенденции;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Рыночные меры будут целевыми, направленными на продвижение видов топлива и технологий, обеспечивающих эффективное сокращение выбросов ПГ; все последующие рыночные меры должны иметь целью эффективное сокращение выбросов ПГ с судов,</w:t>
      </w:r>
      <w:r w:rsidR="0085043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не оказывая предпочтение и не исключая применение любого конкретного возобновляемого источника энергии, а также видов топлива с низким содержанием углерода или технологий;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Разработанные рыночные меры должны быть разработаны безотносительно флага, и он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обеспечивать равнозначное отношение ко всем операторам;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Рыночные меры не должны дублироваться. В случае любого национального или регионального действия государства-участника в целях дальнейшего ускорения сокращения выбросов ПГ с судов, следует избегать дублирования учета выбросов CO2;</w:t>
      </w:r>
    </w:p>
    <w:p w:rsidR="00AD10D9" w:rsidRPr="00345C39" w:rsidRDefault="00603B7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Для поддержки деятельности по воздействию на климатические условия и адаптацию, в частности, в развивающихся странах, не должны использоваться значительные средства.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Коалиция чистого судоходства определила перечень критериев, по которым должна оцениваться каждая рыночная мера:</w:t>
      </w:r>
    </w:p>
    <w:p w:rsidR="00603B79" w:rsidRPr="00345C39" w:rsidRDefault="00603B7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Сократить загрязнения с судов в возможно быстрые сроки до 2030 г. и установить связи ценового разрыва между обычными видами топлива и устойчивыми видами топлива с нулевым содержанием углерода.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Цена ИМО за содержание углерода должна быть установлена на достаточно высоком уровне для формирования эффективного, измеримого и прямого результата. В дополнение к ценовому сигналу о наличии углерода, другие дополнительные комплексы мер (такие как четкие цели достижения энергоэффективности, стандарты нулевых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выбросов ПГ с судов, целевое оборотное использование доходов) могут способствовать быстрому размещению технологий для обеспечения своевременной декарбонизации сектора.</w:t>
      </w:r>
    </w:p>
    <w:p w:rsidR="00AD10D9" w:rsidRPr="00345C39" w:rsidRDefault="00D20C47" w:rsidP="00345C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Привести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сектор судоходства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соответствие с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температурн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цел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ью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D76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1,5 °C</w:t>
      </w:r>
      <w:r w:rsidR="00BD76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Парижского соглашения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603B7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Сектор судоходства должен иметь прозрачный и экологичный углеродный бюджет в соответствии с температурной целью 1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5</w:t>
      </w:r>
      <w:r w:rsidR="001E4172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°C. Для достижения этих целей выбросы ПГ с судов должны достичь нулевой отметки значительно раньше 2050 г., в идеале к 2040 г. Углеродный бюджет, относящийся к сбору за содержание углерода, будет внедрить сложнее, чем Схему торговли 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квотами на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Размер сбора за 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выбросы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не должен автоматически переводиться в общее количество ежегодно сокращаемых выбросов углерода (как в случае со Схемой торговли 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квотами на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выброс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), но эта проблема может быть решена путем установления четкой долгосрочной цели декарбонизации с указанием частых контрольных точек, выраженных в абсолютном сокращении выбросов, и применения других мер, таких как стандарт топлива и/или средне- и долгосрочные цели эксплуатационной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углеродоемкости</w:t>
      </w:r>
      <w:proofErr w:type="spellEnd"/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CII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наравне со стоимостью углерода.</w:t>
      </w:r>
    </w:p>
    <w:p w:rsidR="00AD10D9" w:rsidRPr="00345C39" w:rsidRDefault="00603B7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Разумное использование доходов для i) поддержки стран, подвергающихся наибольшему риску изменения климата, и </w:t>
      </w:r>
      <w:proofErr w:type="gram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стран</w:t>
      </w:r>
      <w:proofErr w:type="gram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рабочих, наиболее затронутых переходом, и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ii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) инвестирова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ния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декарбонизацию сектора, поддерживая исследования, развитие инфраструктуры и вывод на рынок.</w:t>
      </w:r>
    </w:p>
    <w:p w:rsidR="00AD10D9" w:rsidRPr="00345C39" w:rsidRDefault="00BD767E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аименее развитые страны (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LDCs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D10D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должны быть защищены от излишней нагрузки. Вместо предоставления таким странам освобождения от системы установления тарифов за выбросы углерода их следует поддерживать посредством распределения доходов и компенсационных выплат.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Следующим приоритетом использования доходов является финансирование </w:t>
      </w:r>
      <w:r w:rsidR="00BD76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внутри 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судоходного </w:t>
      </w:r>
      <w:r w:rsidR="00BD76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сектора</w:t>
      </w:r>
      <w:r w:rsidR="00BD76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действий по сохранению климата, включая исследования, инновации и инфраструктуру нулевого содержания углерода, включая проектирование и размещение судов с нулевым выбросом углерода (использование возобновляемой энергии, разработка цепочек поставок устойчивых и адаптируемых видов топлива, и инвестирование в энергосберегающие технологии, модернизация существующих судов)</w:t>
      </w:r>
    </w:p>
    <w:p w:rsidR="00AD10D9" w:rsidRPr="00345C39" w:rsidRDefault="001E4172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бсуждается и быстро внедряется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603B79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минуя пилотные этапы во избежание дальнейших задержек в глобальных действиях</w:t>
      </w:r>
    </w:p>
    <w:p w:rsidR="00AD10D9" w:rsidRPr="00345C39" w:rsidRDefault="00AD10D9" w:rsidP="00BD76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Среднесрочные меры, включая систему установления тарифов за выбросы углерода, должны быть полностью пригодны к эксплуатации, насколько это возможно, и направлены на достижение значительного сокращения выбросов до 2030 г.</w:t>
      </w:r>
    </w:p>
    <w:p w:rsidR="00AD10D9" w:rsidRPr="00345C39" w:rsidRDefault="00603B7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включают отступления, бесплатные </w:t>
      </w:r>
      <w:r w:rsidR="00BD767E">
        <w:rPr>
          <w:rFonts w:ascii="Times New Roman" w:eastAsia="Times New Roman" w:hAnsi="Times New Roman" w:cs="Times New Roman"/>
          <w:sz w:val="24"/>
          <w:szCs w:val="24"/>
          <w:lang w:bidi="ru-RU"/>
        </w:rPr>
        <w:t>квоты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значительные послабления, которые могут освободить от ответственности нарушителей, загрязняющих окружающую среду.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Опыт, полученный от применения существующей системы установления тарифов за выбросы углерода, и в особенности от Системы торговли выбросами ЕС (EU ETS), понятен: дешевые 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компенсации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>бесплатное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распределение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разрешений на выбросы приводят к внезапным прибылям и пробелам в сохранении климата. Упоминавши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ся ранее подход с применением компенсационных выплат является более эффективным способом защиты стран и рабочих, подвергающихся риску негативного воздействия.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не дискредитировать другие относящиеся к сохранению климата правила в международном масштабе, а также в странах и регионах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Другие экологически направленные меры не должны быть ограничены или отвергнуты только потому, что существуют глобальные меры. Страны и регионы должны иметь право действовать вне пределов любой международной меры.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тому же, странам и регионам потребуется предпринять значимые действия по сохранению климата на суше для обеспечения декарбонизации в морском секторе. Эти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действия, включая инвестиции в инфраструктуру и разработку цепочек поставок устойчивых и адаптируемых видов топлива, могут быть предприняты только в рамках национальной или региональной политики. Синергия между морским и относящимся к морю земельн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законодательствам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может быть наилучши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способом достигнута путем национальных/международных действий, и глобальные обсуждения не смогут дискредитировать эти взаимосвязанные усилия.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Франция и другие делегации предложили применить сбалансированный подход между техническими и рыночными мерами, совместив их в общем комплексе мер.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Предложение МПС 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 создании Международного Фонда по научным исследованиям и </w:t>
      </w:r>
      <w:r w:rsidR="003B4F45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конструкторско-технологически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="003B4F45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разработк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="003B4F45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области экологии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общем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размере 5 млрд долларов США было поддержано несколькими странами независимо от вопросов </w:t>
      </w:r>
      <w:r w:rsidR="003B4F4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Фонду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эффективности, системности управления и равноправия в отношении развивающихся стран.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Кипр, Панама, Мексика, Австралия, Ямайка и Южная Корея были среди стран, поддержавших учреждение Международного фонда морских исследований, который будет финансироваться при помощи налога 2 доллара США за тонну топлива и управляться советом, возглавляемым ИМО.</w:t>
      </w:r>
    </w:p>
    <w:p w:rsidR="00AD10D9" w:rsidRPr="00345C39" w:rsidRDefault="00603B79" w:rsidP="00001A51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Страны в большинстве своем стара</w:t>
      </w:r>
      <w:r w:rsidR="003B4F45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лись</w:t>
      </w: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избежать </w:t>
      </w:r>
      <w:r w:rsidR="003B4F45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обсуждения </w:t>
      </w: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рискованных рыночных мер повестки дня, таких как углеродный сбор Маршалловых Островов в размере 100 долларов США за тонну, и схема Норвегии торговл</w:t>
      </w:r>
      <w:r w:rsidR="003B4F45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 </w:t>
      </w:r>
      <w:r w:rsidR="003B4F45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квотами на </w:t>
      </w: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выброс</w:t>
      </w:r>
      <w:r w:rsidR="003B4F45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ы</w:t>
      </w:r>
      <w:r w:rsidRPr="00345C39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, перенося обсуждение на Межсессионную рабочую группу по сокращению выбросов парниковых газов.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Председатель КЗМС передал предложение, совместно с другими средне- и долгосрочными мерами по сокращению выбросов, для дальнейшего обсуждения на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12 Межсессионной рабочей группе по сокращению выбросов ПГ с судов.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Коэффициент энергоэффективности существующих судов</w:t>
      </w:r>
      <w:r w:rsidR="0056175C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-</w:t>
      </w:r>
      <w:r w:rsidR="0056175C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эксплуатационные показатели </w:t>
      </w:r>
      <w:proofErr w:type="spellStart"/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углеродоемкости</w:t>
      </w:r>
      <w:proofErr w:type="spellEnd"/>
      <w:r w:rsidR="003B4F4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EEXI-CII</w:t>
      </w:r>
      <w:r w:rsidR="003B4F4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Системе сбора данных</w:t>
      </w:r>
      <w:r w:rsidR="003B4F4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DCS</w:t>
      </w:r>
      <w:r w:rsidR="003B4F45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получила на рассмотрение документы, содержащие предложения относительно пересмотра Системы сбора данных потребления судового топлива DCS, предлагающего включить информацию о требуемых судах и значениях и рейтингах EEXI и CII.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По причине недостатка времени, рассмотрение этих документов отложено до проведения 12 Межсессионной рабочей группы по сокращению выбросов ПГ с судов, которая представит свой отчет на 78 сессии КЗМС.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Таблицы перекрестных ссылок между версиями Приложения VI МАРПОЛ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таблицы перекрестных ссылок между пересмотренным Приложением VI к МАРПОЛ 2021 г. и предшествующим Приложением VI к МАРПОЛ, отметив, что они должны применяться с 1 ноября 2022 г. после вступления в силу пересмотренного Приложения VI к МАРПОЛ 2021 г. и что предшествующее Приложение VI к МАРПОЛ относится к Приложению VI к МАРПОЛ, действовавшему до этой даты.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План действий по рассмотрению загрязнения морским пластиковым мусором с судов</w:t>
      </w:r>
    </w:p>
    <w:p w:rsidR="00603B7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ИМО признала, что существующая проблема загрязнения моря пластиковым мусором с судов требует дальнейшего рассмотрения во исполнение цели устойчивого развития 14 для предотвращения и значительного сокращения загрязнений любого рода к 2025 г. 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подтверждение срочности рассмотрения вопроса о загрязнении пластиковым мусором с судов, ИМО приняла План действий по рассмотрению вопроса о загрязнении пластиковым мусором с судов (MEPC.310(73)).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77 сессия КЗМС приняла Стратегию для рассмотрения вопроса о загрязнении пластиковым мусором с судов для руководства, контроля и наблюдения за своевременным и эффективным внедрением Плана действий.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Эта стратегия применима ко всем судам, включая рыболовные суда. Структура Плана действий основана на ключевых целях и этапах достижения целей.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согласилась отразить намерение достичь нулевых выбросов к 2025 г., признавая, что это может быть неосуществимы</w:t>
      </w:r>
      <w:r w:rsidR="0056175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 всех ситуациях вследствие применения правила 7 Приложения V к МАРПОЛ, в случаях, когда такие выбросы необходимы для обеспечения безопасности судна или лиц на его борту, спасения жизни на море; или в случае аварийной утраты мусора или рыбопромыслового оборудования.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Предложение в отношени</w:t>
      </w:r>
      <w:r w:rsidR="0056175C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</w:t>
      </w: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обязательного наличия Журнала операций с мусором на судах валовой вместимостью 100 и выше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 рассмотрел предложение, расширяющее обязанность иметь Журнал операций с мусором на борту всех судов валовой вместимостью 100 и выше, на основании требований правила 10.3 и правила 10.3.6 Приложения V к МАРПОЛ.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Принимая во внимание широкую поддержку этого предложения, 77 сессия КЗМС поручила Подкомитету по предупреждению загрязнения и реагированию</w:t>
      </w:r>
      <w:r w:rsidR="00001A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PPR</w:t>
      </w:r>
      <w:r w:rsidR="00001A51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подготовить проект поправок к Приложению V к МАРПОЛ.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C1578D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Черный</w:t>
      </w:r>
      <w:r w:rsidR="00AD10D9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углерод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КЗМС отметила, что рассматривались меры в отношении сокращения влияния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от международного судоходства в Арктике, которые могут включать 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себя необязательные инструменты, такие как руководство по пересмотренному рекомендованному техническому заданию, помимо прочего, для разработки, на начальном этапе, руководство по рекомендательным целевым мерам контроля сокращения воздействия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от международного судоходства в Арктике.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Одной из установленных мер по сокращению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с судов является смена топлива при эксплуатации в Арктике. В Четвертом исследовании ИМО 2020 г. по сокращению выбросов ПГ с судов указывается, что при использовании на одном и том же д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вигателе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переключение на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дистиллятное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топливо может снизить выбросы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на кило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грамм потребляемого топлива 2-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тактных двигателей до 79% и до 52% на четырехтактных двигателях.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делегации (Германия, Великобритания, Франция, США, Норвегия и другие) предложили КЗМС осуществить его первое конкретное действие, относящееся к сокращению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углерода, разработав необязательный инструмент в форме резолюции МЕРС для поддержки добровольного применения экологически чистого топлива на судах, эксплуатирующихся в Арктике и прилегающих к ней районах.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77 сессия КЗМС последовательно приняла резолюцию по защите Арктики от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с судов, которая:</w:t>
      </w:r>
    </w:p>
    <w:p w:rsidR="00AD10D9" w:rsidRPr="00345C39" w:rsidRDefault="00D62B79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Рекомендовала государствам-участникам приступить к рассмотрению угрозы для Арктики, вызванной выбросами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углерода, и составить отчет о мерах и передовой практике сокращения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с судов;</w:t>
      </w:r>
    </w:p>
    <w:p w:rsidR="00AD10D9" w:rsidRPr="00345C39" w:rsidRDefault="00D62B79" w:rsidP="00345C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Призвала государства-участники и операторов судов к добровольному применению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дистиллятного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 или других более чистых альтернативных видов топлива или способов приведения в движение, безопасных для судов и способных сократить выбросы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с судов при эксплуатации в Арктике и прилегающих к ней районах.</w:t>
      </w:r>
    </w:p>
    <w:p w:rsidR="00AD10D9" w:rsidRPr="00345C39" w:rsidRDefault="00AD10D9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следующие ТЗ, проект которых был составлен на 8 сессии Подкомитета PPR: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разработать, на начальном этапе, руководство по рекомендательным целевым мерам контроля сокращения воздействия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от международного судоходства в Арктике;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далее рассмотреть регулирование или иное прямое управление выбросами технического углерода из судовых дизельных двигателей (отработавший газ) для сокращения воздействия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в Арктике - разработать стандартизированный протокол отбора, кондиционирования и измерения, включая доступный для отслеживания метод и анализ погрешности, с учетом трех основных применимых методов измерения технического углерода (FSN, PAS, LII), для выполнения точных и пригодных для контроля (сравнения) измерений выбросов </w:t>
      </w:r>
      <w:r w:rsidR="00C1578D">
        <w:rPr>
          <w:rFonts w:ascii="Times New Roman" w:eastAsia="Times New Roman" w:hAnsi="Times New Roman" w:cs="Times New Roman"/>
          <w:sz w:val="24"/>
          <w:szCs w:val="24"/>
          <w:lang w:bidi="ru-RU"/>
        </w:rPr>
        <w:t>черного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Проект поправок к Приложению II МАРПОЛ - правилам контроля загрязнения вредными жидкими веществами, перевозимыми наливом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75 сессия КЗМС отметила окончание работы над Докладами и исследованиями ГЕСАМП №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102 (Процедура оценки ГЕСАМП опасности химических веществ, перевозимых на судах, 2019 г.), которые включают в себя таблицу характеристик опасности ГЕСАМП, а именно категоризацию характеристик опасности в столбце C3 и переоценк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у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столбце E1.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В свете вышеперечисленных изменений таблицы характеристик опасности ГЕСАМП, КЗМС попросила Секретариат подготовить проект последующих поправок к дополнению I Приложения II к МАРПОЛ.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проект поправок к Приложению II к МАРПОЛ - правила по контролю загрязнения вредными жидкими веществами, перевозимыми наливом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свете принятия на 78 сессии КЗМС.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Вопросы, которые должны быть рассмотрены на тридцать второй сессии Ассамблеи</w:t>
      </w:r>
    </w:p>
    <w:p w:rsidR="00AD10D9" w:rsidRPr="00345C39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одобрила, по согласованию со 104 сессией КБМ, представление на одобрение тридцать второй сессии Ассамблеи следующее:</w:t>
      </w:r>
    </w:p>
    <w:p w:rsidR="0047309E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Руководства по государственному портовому контролю, 2021 г. и проект связанной с ним резолюции Ассамблеи; 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Руководства по освидетельствованию в соответствии с гармонизированной системой освидетельствования и оформления свидетельств (HSSC), 2021 г. и проект связанной с ним резолюции Ассамблеи;</w:t>
      </w:r>
    </w:p>
    <w:p w:rsidR="00AD10D9" w:rsidRPr="00345C39" w:rsidRDefault="00AD10D9" w:rsidP="00345C3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проект Неисчерпывающего перечня обязательств 2021 г. в соответствии с документами, которые относятся к Кодексу по осуществлению документов ИМО (Кодекс III/ОДИ) и проект связанной с ним резолюции Ассамблеи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Типовое соглашение о передаче полномочий ПО, действующих от имени Администрации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104 сессия КБМ, отметив, в частности, что 7 сессия Подкомит</w:t>
      </w:r>
      <w:r w:rsidR="0022682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ета по осуществлению документов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согласовала пункт 6.5.5 проекта Типового соглашения с пункт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5.3.2.4 части 3 Кодекса ПО в отношении объема обязательной сертификации и услуг в соответствии с определениями Кодекса ПО, одобрила проект циркуляра MSC-MEPC.5 по Типовому соглашению.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По согласованию с решением 104 сессии К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БМ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этому вопросу, 77 сессия КЗМС одобрила Типовое соглашение о предоставлении полномочий признанным организациям, действующим от имени Администрации.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47309E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Водонепроницаемые двери на грузовых судах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ИМО по проектированию и конструкции судна/SDC разработала проект поправок к Приложению I к МАРПОЛ, Протоколу по грузовой марке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1988 г., Кодексу МКХ и Кодексу МКГ в отношении водонепроницаемых дверей на грузовых судах.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КБМ, рассмотрев результат 7 сессии Подкомитета SDC в отношении водонепроницаемых дверей на грузовых судах, одобрила проект поправок к Протоколу по грузовой марке 1988 г., Кодексу МКХ и Кодексу МКГ. Отметив, что поправки к Протоколу по грузовой марке 1988 г., Кодексу МКХ и Кодексу МКГ не влияют на существующие суда, сессия согласилась применить их ко всем судам.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102 сессия КБМ призвала КЗМС последовательно одобрить проект поправок в Кодексу МКХ и соответствующий проект поправок к Приложению I к МАРПОЛ.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проект поправок к Кодексу МКХ с целью последующего одобрения на 78 сессии КЗМС, согласованного с решением 102 сессии КБМ для применения их ко всем судам.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77 сессия КЗМС одобрила также проект поправок к Приложению I к МАРПОЛ с целью принятия на 78 сессии КЗМС.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345C39" w:rsidRDefault="00001A51" w:rsidP="00001A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Круг ведения</w:t>
      </w:r>
      <w:r w:rsidR="00AD10D9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рабочих групп, установленн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ый</w:t>
      </w:r>
      <w:r w:rsidR="00AD10D9" w:rsidRPr="00345C39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77 сессией КЗМС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001A51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Корреспондентской группе по сокращению интенсивности выбросов углерода поручено:</w:t>
      </w:r>
    </w:p>
    <w:p w:rsidR="00AD10D9" w:rsidRPr="00345C39" w:rsidRDefault="00AD10D9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1. Далее рассмотреть и завершить рассмотрение актуализированного Руководства по плану управления энергоэффективностью судна (SEEMP) и привлечению особого внимания к роли и структуре SEEMP для судов, к которым применимо правило 28, а также других предложений по включению в руководство SEEMP;</w:t>
      </w:r>
    </w:p>
    <w:p w:rsidR="00AD10D9" w:rsidRPr="00345C39" w:rsidRDefault="00A75E8D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2. Далее рассмотреть и актуализировать существующие процедуры или руководства:</w:t>
      </w:r>
    </w:p>
    <w:p w:rsidR="00AD10D9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- Руководство 2017 г. по управлению подтверждением данных по потреблению судового топлива (резолюция MEPC.292(71));</w:t>
      </w:r>
    </w:p>
    <w:p w:rsidR="00AD10D9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- Руководство 2017 г. по разработке и управлению базой данных потребления судового топлива ИМО (резолюция MEPC.293(71));</w:t>
      </w:r>
    </w:p>
    <w:p w:rsidR="00AD10D9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- Процедуру предоставления данных в базу данных потребления судового топлива ИМО от государств, не являющихся сторонами Приложения VI МАРПОЛ (MEPC.1/Circ.871); и</w:t>
      </w:r>
    </w:p>
    <w:p w:rsidR="00AD10D9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Процедуры контроля со стороны государства порта, 2019 г. (резолюция A.1138(31)); </w:t>
      </w:r>
    </w:p>
    <w:p w:rsidR="00AD10D9" w:rsidRPr="00345C39" w:rsidRDefault="00A75E8D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3. Разработать проект руководства по корректирующим коэффициентам для определенных типов судов, эксплуатационных характеристик и/или рейсов </w:t>
      </w:r>
      <w:r w:rsidR="00D06D90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расчетов рамках CII (G5);</w:t>
      </w:r>
    </w:p>
    <w:p w:rsidR="00AD10D9" w:rsidRPr="00345C39" w:rsidRDefault="00A75E8D" w:rsidP="00001A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4. Разработать в новом или существующем руководстве: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- Процессы проверки и подтверждения Плана управления энергоэффективностью судна/SEEMP, включая подтверждение SEEMP администрациями и подтверждение пересмотренного SEEMP для судов, требующих разработки плана корректирующих действий (PCA);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Разработать возможные параметры и шаблоны для составления отчетности, подтверждения и предоставления данных для испытаний эксплуатационной </w:t>
      </w:r>
      <w:proofErr w:type="spell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углеродоемкости</w:t>
      </w:r>
      <w:proofErr w:type="spell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/CII отдельных судов на добровольной основе, как указывается в G1 и для других замеров в ходе испытаний судов обеспечения платформ и морских контрактных судов;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- Накопление и составление отчетности о данных потребления топлива на судах для новой Администрации и/или компании в случае смены Администрации на другую и/или одной компании на другую;</w:t>
      </w:r>
    </w:p>
    <w:p w:rsidR="00AD10D9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5. Рассмотреть предложенные поправки к руководству по расчету коэффициента энергоэффективности существующих судов/EEXI и освидетельствования EEXI, а также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руководства по сертификации для включения метода замеров в ходе эксплуатации для определения расчетной скорости.</w:t>
      </w:r>
    </w:p>
    <w:p w:rsidR="00A75E8D" w:rsidRPr="00345C39" w:rsidRDefault="00A75E8D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001A51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Специальной экспертной рабочей групп</w:t>
      </w:r>
      <w:r w:rsidR="00416A7E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е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по оценке воздействия (8-9 марта 2022 г.) поручено: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1. Проанализировать предположения и методологию оценки влияния на суда и государства, включенны</w:t>
      </w:r>
      <w:r w:rsidR="0017166C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точки зрения использования проанализированных/одобренных базовых характеристик и МАНС и других входных данных;</w:t>
      </w:r>
    </w:p>
    <w:p w:rsidR="00A75E8D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 Установить, каким образом проводить качественную оценку/оценку заинтересованных лиц; 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3. Представить письменный отчет 11 Межсессионной рабочей группе по сокращению выбросов ПГ с судов.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001A51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11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-й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Межсессионной рабочей группе по сокращению выбросов ПГ с судов </w:t>
      </w:r>
      <w:r w:rsidR="00001A51">
        <w:rPr>
          <w:rFonts w:ascii="Times New Roman" w:eastAsia="Times New Roman" w:hAnsi="Times New Roman" w:cs="Times New Roman"/>
          <w:sz w:val="24"/>
          <w:szCs w:val="24"/>
          <w:u w:val="single"/>
          <w:lang w:val="en-US" w:bidi="ru-RU"/>
        </w:rPr>
        <w:t>ISWG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-</w:t>
      </w:r>
      <w:r w:rsidR="00001A51">
        <w:rPr>
          <w:rFonts w:ascii="Times New Roman" w:eastAsia="Times New Roman" w:hAnsi="Times New Roman" w:cs="Times New Roman"/>
          <w:sz w:val="24"/>
          <w:szCs w:val="24"/>
          <w:u w:val="single"/>
          <w:lang w:val="en-US" w:bidi="ru-RU"/>
        </w:rPr>
        <w:t>GHG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11 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(14-18 марта 2022 г.) поручено: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1. Далее рассмотреть разработку проекта руководства по жизненному циклу выбросов ПГ с судов и интенсивности выбросов углерода для различных видов судового топлива;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 Рассмотреть конкретные предложения </w:t>
      </w:r>
      <w:proofErr w:type="gramStart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к отношении</w:t>
      </w:r>
      <w:proofErr w:type="gramEnd"/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того, как отслеживать влияния краткосрочных мер;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3. Использовать результаты комплексной оценки воздействия краткосрочных мер, учитывая также выводы Специальной экспертной рабочей группы по оценке воздействия;</w:t>
      </w:r>
    </w:p>
    <w:p w:rsidR="00AD10D9" w:rsidRPr="00345C39" w:rsidRDefault="00A75E8D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4. Рассмотреть предложения по пересмотру Системы сбора данных (DCS) потребления судового топлива.</w:t>
      </w:r>
    </w:p>
    <w:p w:rsidR="00AD10D9" w:rsidRPr="00345C39" w:rsidRDefault="00AD10D9" w:rsidP="00345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D9" w:rsidRPr="00001A51" w:rsidRDefault="00AD10D9" w:rsidP="00345C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12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-й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Межсессионной рабочей группе по сокращению выбросов ПГ с судов 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val="en-US" w:bidi="ru-RU"/>
        </w:rPr>
        <w:t>ISWG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-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val="en-US" w:bidi="ru-RU"/>
        </w:rPr>
        <w:t>GHG</w:t>
      </w:r>
      <w:r w:rsidR="00001A51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12 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(16-20 </w:t>
      </w:r>
      <w:r w:rsidR="0017166C"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мая</w:t>
      </w:r>
      <w:r w:rsidRPr="00001A51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 xml:space="preserve"> 2022 г.) поручено:</w:t>
      </w:r>
    </w:p>
    <w:p w:rsidR="00AD10D9" w:rsidRPr="00345C39" w:rsidRDefault="000A29D0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1. Рассмотреть все вопросы, возникающие из окончательного отчета Корреспондентской группы по сокращению интенсивности выбросов углерода;</w:t>
      </w:r>
    </w:p>
    <w:p w:rsidR="00AD10D9" w:rsidRPr="00345C39" w:rsidRDefault="000A29D0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2. Рассмотреть конкретные предложения по средне- и долгосрочным мерам и оценку связанных с ними результатов в контексте Этапа I Плана работы по разработке средне-</w:t>
      </w:r>
      <w:r w:rsidR="00416A7E"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и долгосрочных мер, а также предложения по учреждению Международного морского научного совета;</w:t>
      </w:r>
    </w:p>
    <w:p w:rsidR="00AD10D9" w:rsidRPr="00345C39" w:rsidRDefault="00AD10D9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3. Далее рассмотреть вопрос о проработке увеличения рабочей нагрузки по сокращению выбросов ПГ с судов и предложения по возможным альтернативным графикам работы;</w:t>
      </w:r>
    </w:p>
    <w:p w:rsidR="00AD10D9" w:rsidRPr="00345C39" w:rsidRDefault="000A29D0" w:rsidP="00345C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>4. Представить письменный отчет на 78 сесси</w:t>
      </w:r>
      <w:r w:rsidR="00001A51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345C3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КЗМС.</w:t>
      </w:r>
    </w:p>
    <w:sectPr w:rsidR="00AD10D9" w:rsidRPr="00345C39" w:rsidSect="00A7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647F9"/>
    <w:multiLevelType w:val="hybridMultilevel"/>
    <w:tmpl w:val="56126E8C"/>
    <w:lvl w:ilvl="0" w:tplc="6706DB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6B8D"/>
    <w:multiLevelType w:val="hybridMultilevel"/>
    <w:tmpl w:val="5190708C"/>
    <w:lvl w:ilvl="0" w:tplc="FF2ABC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9"/>
    <w:rsid w:val="00001A51"/>
    <w:rsid w:val="000A29D0"/>
    <w:rsid w:val="001479BF"/>
    <w:rsid w:val="00167513"/>
    <w:rsid w:val="00167CCB"/>
    <w:rsid w:val="0017166C"/>
    <w:rsid w:val="001E4172"/>
    <w:rsid w:val="00226820"/>
    <w:rsid w:val="0024730E"/>
    <w:rsid w:val="002A1D3B"/>
    <w:rsid w:val="002F02DF"/>
    <w:rsid w:val="003065A8"/>
    <w:rsid w:val="0033097B"/>
    <w:rsid w:val="00345C39"/>
    <w:rsid w:val="00351834"/>
    <w:rsid w:val="003663BC"/>
    <w:rsid w:val="0036782F"/>
    <w:rsid w:val="003B4F45"/>
    <w:rsid w:val="003F128D"/>
    <w:rsid w:val="00416A7E"/>
    <w:rsid w:val="0047309E"/>
    <w:rsid w:val="004B7A6D"/>
    <w:rsid w:val="004F2FFB"/>
    <w:rsid w:val="005140F6"/>
    <w:rsid w:val="0056175C"/>
    <w:rsid w:val="00603B79"/>
    <w:rsid w:val="00622C27"/>
    <w:rsid w:val="00747922"/>
    <w:rsid w:val="00754B88"/>
    <w:rsid w:val="00770470"/>
    <w:rsid w:val="00850430"/>
    <w:rsid w:val="008E25CF"/>
    <w:rsid w:val="0096231A"/>
    <w:rsid w:val="009E23FB"/>
    <w:rsid w:val="00A75E8D"/>
    <w:rsid w:val="00A7604A"/>
    <w:rsid w:val="00A912BA"/>
    <w:rsid w:val="00A9456B"/>
    <w:rsid w:val="00AA15F8"/>
    <w:rsid w:val="00AD10D9"/>
    <w:rsid w:val="00AD3398"/>
    <w:rsid w:val="00AE23D9"/>
    <w:rsid w:val="00BD3DE8"/>
    <w:rsid w:val="00BD4B47"/>
    <w:rsid w:val="00BD767E"/>
    <w:rsid w:val="00C1578D"/>
    <w:rsid w:val="00D069EB"/>
    <w:rsid w:val="00D06D90"/>
    <w:rsid w:val="00D20C47"/>
    <w:rsid w:val="00D62B79"/>
    <w:rsid w:val="00E24C89"/>
    <w:rsid w:val="00E32725"/>
    <w:rsid w:val="00EA4F91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23A2"/>
  <w15:docId w15:val="{172B76CC-D78D-470C-A9FE-0BB6714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D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54B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4B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4B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4B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4B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Mikhail Musonov (RS)</cp:lastModifiedBy>
  <cp:revision>4</cp:revision>
  <dcterms:created xsi:type="dcterms:W3CDTF">2022-03-31T10:06:00Z</dcterms:created>
  <dcterms:modified xsi:type="dcterms:W3CDTF">2022-03-31T11:41:00Z</dcterms:modified>
</cp:coreProperties>
</file>