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CA5" w14:textId="77777777" w:rsidR="00970A36" w:rsidRPr="00B65A93" w:rsidRDefault="00B65A93" w:rsidP="001000DB">
      <w:pPr>
        <w:pStyle w:val="2"/>
        <w:rPr>
          <w:lang w:val="en-US"/>
        </w:rPr>
      </w:pPr>
      <w:r w:rsidRPr="00B65A93">
        <w:rPr>
          <w:lang w:val="en-US"/>
        </w:rPr>
        <w:t>IMO session brief notes</w:t>
      </w:r>
    </w:p>
    <w:p w14:paraId="6FA8981E" w14:textId="5C30BE94" w:rsidR="00950965" w:rsidRDefault="00997BCE" w:rsidP="00F32755">
      <w:pPr>
        <w:pStyle w:val="ab"/>
        <w:jc w:val="center"/>
        <w:rPr>
          <w:b/>
          <w:sz w:val="28"/>
          <w:szCs w:val="28"/>
          <w:lang w:val="en-US"/>
        </w:rPr>
      </w:pPr>
      <w:r>
        <w:rPr>
          <w:b/>
          <w:sz w:val="28"/>
          <w:szCs w:val="28"/>
          <w:lang w:val="en-US"/>
        </w:rPr>
        <w:t>10</w:t>
      </w:r>
      <w:r w:rsidR="008314FC" w:rsidRPr="00AB37D9">
        <w:rPr>
          <w:b/>
          <w:sz w:val="28"/>
          <w:szCs w:val="28"/>
          <w:vertAlign w:val="superscript"/>
          <w:lang w:val="en-US"/>
        </w:rPr>
        <w:t>th</w:t>
      </w:r>
      <w:r w:rsidR="00AB37D9">
        <w:rPr>
          <w:b/>
          <w:sz w:val="28"/>
          <w:szCs w:val="28"/>
          <w:lang w:val="en-US"/>
        </w:rPr>
        <w:t xml:space="preserve"> </w:t>
      </w:r>
      <w:r w:rsidR="008314FC" w:rsidRPr="008314FC">
        <w:rPr>
          <w:b/>
          <w:sz w:val="28"/>
          <w:szCs w:val="28"/>
          <w:lang w:val="en-US"/>
        </w:rPr>
        <w:t xml:space="preserve">session of </w:t>
      </w:r>
      <w:r w:rsidR="00B3773C" w:rsidRPr="00B3773C">
        <w:rPr>
          <w:b/>
          <w:sz w:val="28"/>
          <w:szCs w:val="28"/>
          <w:lang w:val="en-US"/>
        </w:rPr>
        <w:t xml:space="preserve">Sub-Committee </w:t>
      </w:r>
    </w:p>
    <w:p w14:paraId="2AB9181C" w14:textId="77777777" w:rsidR="00A47F25" w:rsidRDefault="00A47F25" w:rsidP="00997BCE">
      <w:pPr>
        <w:ind w:firstLine="708"/>
        <w:jc w:val="center"/>
        <w:rPr>
          <w:b/>
          <w:sz w:val="28"/>
          <w:szCs w:val="28"/>
          <w:lang w:val="en-US"/>
        </w:rPr>
      </w:pPr>
      <w:r w:rsidRPr="00A47F25">
        <w:rPr>
          <w:b/>
          <w:sz w:val="28"/>
          <w:szCs w:val="28"/>
          <w:lang w:val="en-US"/>
        </w:rPr>
        <w:t>on Human Element, Training and Watchkeeping (HTW 10)</w:t>
      </w:r>
    </w:p>
    <w:p w14:paraId="6742C173" w14:textId="771639EC" w:rsidR="00EC1232" w:rsidRDefault="00A47F25" w:rsidP="00997BCE">
      <w:pPr>
        <w:ind w:firstLine="708"/>
        <w:jc w:val="center"/>
        <w:rPr>
          <w:lang w:val="en-US"/>
        </w:rPr>
      </w:pPr>
      <w:r w:rsidRPr="00A47F25">
        <w:rPr>
          <w:b/>
          <w:sz w:val="28"/>
          <w:szCs w:val="28"/>
          <w:lang w:val="en-US"/>
        </w:rPr>
        <w:t>5-9 February 2024</w:t>
      </w:r>
    </w:p>
    <w:p w14:paraId="0B700C74" w14:textId="01ED4CF5" w:rsidR="00E25907" w:rsidRDefault="00997BCE" w:rsidP="00530656">
      <w:pPr>
        <w:ind w:firstLine="708"/>
        <w:rPr>
          <w:lang w:val="en-US"/>
        </w:rPr>
      </w:pPr>
      <w:r w:rsidRPr="00997BCE">
        <w:rPr>
          <w:lang w:val="en-US"/>
        </w:rPr>
        <w:t xml:space="preserve">The 10th session of the Sub-Committee </w:t>
      </w:r>
      <w:r w:rsidR="00D82162" w:rsidRPr="00D82162">
        <w:rPr>
          <w:lang w:val="en-US"/>
        </w:rPr>
        <w:t>on Human Element, Training and Watchkeeping (HTW 10)</w:t>
      </w:r>
      <w:r w:rsidRPr="00997BCE">
        <w:rPr>
          <w:lang w:val="en-US"/>
        </w:rPr>
        <w:t xml:space="preserve"> was held in person in London </w:t>
      </w:r>
      <w:r w:rsidR="00D82162" w:rsidRPr="00D82162">
        <w:rPr>
          <w:lang w:val="en-US"/>
        </w:rPr>
        <w:t xml:space="preserve">5-9 February 2024 </w:t>
      </w:r>
      <w:r w:rsidRPr="00997BCE">
        <w:rPr>
          <w:lang w:val="en-US"/>
        </w:rPr>
        <w:t xml:space="preserve"> with hybrid facilities allowing remote participation</w:t>
      </w:r>
      <w:r w:rsidR="009C468D" w:rsidRPr="009C468D">
        <w:rPr>
          <w:lang w:val="en-US"/>
        </w:rPr>
        <w:t xml:space="preserve">. </w:t>
      </w:r>
      <w:r w:rsidR="00B65A93" w:rsidRPr="00B65A93">
        <w:rPr>
          <w:lang w:val="en-US"/>
        </w:rPr>
        <w:t>Main outcomes of the meeting are given below.</w:t>
      </w:r>
    </w:p>
    <w:p w14:paraId="1E5A5885" w14:textId="77777777" w:rsidR="00130446" w:rsidRDefault="00130446" w:rsidP="001807AE">
      <w:pPr>
        <w:pBdr>
          <w:bottom w:val="single" w:sz="2" w:space="1" w:color="A5A5A5" w:themeColor="accent3"/>
        </w:pBdr>
        <w:ind w:firstLine="708"/>
        <w:rPr>
          <w:lang w:val="en-US"/>
        </w:rPr>
      </w:pPr>
    </w:p>
    <w:p w14:paraId="5E184C51" w14:textId="3594CCC5" w:rsidR="00130446" w:rsidRPr="00130446" w:rsidRDefault="00130446" w:rsidP="00130446">
      <w:pPr>
        <w:pBdr>
          <w:bottom w:val="single" w:sz="2" w:space="1" w:color="A5A5A5" w:themeColor="accent3"/>
        </w:pBdr>
        <w:ind w:firstLine="708"/>
        <w:rPr>
          <w:b/>
          <w:i/>
          <w:lang w:val="en-US"/>
        </w:rPr>
      </w:pPr>
      <w:r w:rsidRPr="00130446">
        <w:rPr>
          <w:b/>
          <w:i/>
          <w:lang w:val="en-US"/>
        </w:rPr>
        <w:t xml:space="preserve">Groundwork laid for the comprehensive review of the STCW Convention and Code </w:t>
      </w:r>
    </w:p>
    <w:p w14:paraId="65349E22" w14:textId="4E65EC2F" w:rsidR="00130446" w:rsidRDefault="00130446" w:rsidP="00130446">
      <w:pPr>
        <w:pBdr>
          <w:bottom w:val="single" w:sz="2" w:space="1" w:color="A5A5A5" w:themeColor="accent3"/>
        </w:pBdr>
        <w:ind w:firstLine="708"/>
        <w:rPr>
          <w:lang w:val="en-US"/>
        </w:rPr>
      </w:pPr>
      <w:r w:rsidRPr="00130446">
        <w:rPr>
          <w:lang w:val="en-US"/>
        </w:rPr>
        <w:t xml:space="preserve">The Sub-Committee agreed on a roadmap, methodology and a list of specific areas for the comprehensive review of the International Convention on Standards of Training, Certification and Watchkeeping for Seafarers (STCW) and the accompanying STCW Code.  </w:t>
      </w:r>
    </w:p>
    <w:p w14:paraId="48DCC7A6" w14:textId="77777777" w:rsidR="00B44525" w:rsidRPr="00130446" w:rsidRDefault="00B44525" w:rsidP="00B44525">
      <w:pPr>
        <w:pBdr>
          <w:bottom w:val="single" w:sz="2" w:space="1" w:color="A5A5A5" w:themeColor="accent3"/>
        </w:pBdr>
        <w:ind w:firstLine="708"/>
        <w:rPr>
          <w:lang w:val="en-US"/>
        </w:rPr>
      </w:pPr>
      <w:r w:rsidRPr="00130446">
        <w:rPr>
          <w:lang w:val="en-US"/>
        </w:rPr>
        <w:t xml:space="preserve">The STCW Convention establishes basic requirements on training, certification and watchkeeping for seafarers on an international level. In 2022, the Maritime Safety Committee (MSC 105) instructed the HTW Sub-Committee to conduct a comprehensive review of the STCW Convention and Code to adapt the existing global standards for seafarer training to reflect new trends, developments and challenges in the maritime sector.  </w:t>
      </w:r>
    </w:p>
    <w:p w14:paraId="5FDDC690" w14:textId="5A175A34" w:rsidR="00130446" w:rsidRDefault="00130446" w:rsidP="00B44525">
      <w:pPr>
        <w:pBdr>
          <w:bottom w:val="single" w:sz="2" w:space="1" w:color="A5A5A5" w:themeColor="accent3"/>
        </w:pBdr>
        <w:rPr>
          <w:lang w:val="en-US"/>
        </w:rPr>
      </w:pPr>
    </w:p>
    <w:p w14:paraId="3FBBA30B" w14:textId="77777777" w:rsidR="00130446" w:rsidRPr="00130446" w:rsidRDefault="00130446" w:rsidP="00130446">
      <w:pPr>
        <w:pBdr>
          <w:bottom w:val="single" w:sz="2" w:space="1" w:color="A5A5A5" w:themeColor="accent3"/>
        </w:pBdr>
        <w:ind w:firstLine="708"/>
        <w:rPr>
          <w:b/>
          <w:i/>
          <w:lang w:val="en-US"/>
        </w:rPr>
      </w:pPr>
      <w:r w:rsidRPr="00130446">
        <w:rPr>
          <w:b/>
          <w:i/>
          <w:lang w:val="en-US"/>
        </w:rPr>
        <w:t>Road Map</w:t>
      </w:r>
    </w:p>
    <w:p w14:paraId="4CEC5934" w14:textId="75F28624" w:rsidR="00130446" w:rsidRPr="00130446" w:rsidRDefault="00130446" w:rsidP="00130446">
      <w:pPr>
        <w:pBdr>
          <w:bottom w:val="single" w:sz="2" w:space="1" w:color="A5A5A5" w:themeColor="accent3"/>
        </w:pBdr>
        <w:ind w:firstLine="708"/>
        <w:rPr>
          <w:lang w:val="en-US"/>
        </w:rPr>
      </w:pPr>
      <w:r w:rsidRPr="00130446">
        <w:rPr>
          <w:lang w:val="en-US"/>
        </w:rPr>
        <w:t>HTW has proposed a two-phase road map. The road map includes two distinct phases – a review phase –</w:t>
      </w:r>
      <w:r>
        <w:rPr>
          <w:lang w:val="en-US"/>
        </w:rPr>
        <w:t xml:space="preserve"> </w:t>
      </w:r>
      <w:r w:rsidRPr="00130446">
        <w:rPr>
          <w:lang w:val="en-US"/>
        </w:rPr>
        <w:t>looking for gaps due to new technology, outdated information, or areas that need updating, this was</w:t>
      </w:r>
      <w:r>
        <w:rPr>
          <w:lang w:val="en-US"/>
        </w:rPr>
        <w:t xml:space="preserve"> </w:t>
      </w:r>
      <w:r w:rsidRPr="00130446">
        <w:rPr>
          <w:lang w:val="en-US"/>
        </w:rPr>
        <w:t>considered by correspondence since HTW 9 and is listed below. There will then be a revision phase which will</w:t>
      </w:r>
      <w:r>
        <w:rPr>
          <w:lang w:val="en-US"/>
        </w:rPr>
        <w:t xml:space="preserve"> </w:t>
      </w:r>
      <w:r w:rsidRPr="00130446">
        <w:rPr>
          <w:lang w:val="en-US"/>
        </w:rPr>
        <w:t>focus on the necessary revisions to the STCW Convention and Code.</w:t>
      </w:r>
      <w:r>
        <w:rPr>
          <w:lang w:val="en-US"/>
        </w:rPr>
        <w:t xml:space="preserve"> </w:t>
      </w:r>
      <w:r w:rsidRPr="00130446">
        <w:rPr>
          <w:lang w:val="en-US"/>
        </w:rPr>
        <w:t>It is proposed that this will culminate with a meeting held in autumn 2027 to adopt amendments to the STCW</w:t>
      </w:r>
      <w:r>
        <w:rPr>
          <w:lang w:val="en-US"/>
        </w:rPr>
        <w:t xml:space="preserve"> </w:t>
      </w:r>
      <w:r w:rsidRPr="00130446">
        <w:rPr>
          <w:lang w:val="en-US"/>
        </w:rPr>
        <w:t>Convention and Code, and the associated draft MSC resolutions. The road map will be sent to MSC 108 (May</w:t>
      </w:r>
      <w:r>
        <w:rPr>
          <w:lang w:val="en-US"/>
        </w:rPr>
        <w:t xml:space="preserve"> </w:t>
      </w:r>
      <w:r w:rsidRPr="00130446">
        <w:rPr>
          <w:lang w:val="en-US"/>
        </w:rPr>
        <w:t>2024) for the Committee’s agreement.</w:t>
      </w:r>
    </w:p>
    <w:p w14:paraId="2EA36EF8" w14:textId="7411099D" w:rsidR="00130446" w:rsidRDefault="00130446" w:rsidP="00130446">
      <w:pPr>
        <w:pBdr>
          <w:bottom w:val="single" w:sz="2" w:space="1" w:color="A5A5A5" w:themeColor="accent3"/>
        </w:pBdr>
        <w:ind w:firstLine="708"/>
        <w:rPr>
          <w:lang w:val="en-US"/>
        </w:rPr>
      </w:pPr>
    </w:p>
    <w:p w14:paraId="4B26F4BA" w14:textId="34F8E4BF" w:rsidR="00130446" w:rsidRPr="00130446" w:rsidRDefault="00130446" w:rsidP="00130446">
      <w:pPr>
        <w:pBdr>
          <w:bottom w:val="single" w:sz="2" w:space="1" w:color="A5A5A5" w:themeColor="accent3"/>
        </w:pBdr>
        <w:ind w:firstLine="708"/>
        <w:rPr>
          <w:b/>
          <w:i/>
          <w:lang w:val="en-US"/>
        </w:rPr>
      </w:pPr>
      <w:r w:rsidRPr="00130446">
        <w:rPr>
          <w:b/>
          <w:i/>
          <w:lang w:val="en-US"/>
        </w:rPr>
        <w:t>List of specific areas identified for the comprehensive review of the STCW Convention</w:t>
      </w:r>
      <w:r w:rsidRPr="00130446">
        <w:rPr>
          <w:b/>
          <w:i/>
          <w:lang w:val="en-US"/>
        </w:rPr>
        <w:t xml:space="preserve"> </w:t>
      </w:r>
      <w:r w:rsidRPr="00130446">
        <w:rPr>
          <w:b/>
          <w:i/>
          <w:lang w:val="en-US"/>
        </w:rPr>
        <w:t>and Code</w:t>
      </w:r>
    </w:p>
    <w:p w14:paraId="5605C092" w14:textId="13C78829" w:rsidR="00130446" w:rsidRPr="00130446" w:rsidRDefault="00130446" w:rsidP="00130446">
      <w:pPr>
        <w:pBdr>
          <w:bottom w:val="single" w:sz="2" w:space="1" w:color="A5A5A5" w:themeColor="accent3"/>
        </w:pBdr>
        <w:ind w:firstLine="708"/>
        <w:rPr>
          <w:lang w:val="en-US"/>
        </w:rPr>
      </w:pPr>
      <w:r w:rsidRPr="00130446">
        <w:rPr>
          <w:lang w:val="en-US"/>
        </w:rPr>
        <w:t>HTW agreed to include the following list of specific areas to be considered as part of the comprehensive</w:t>
      </w:r>
      <w:r>
        <w:rPr>
          <w:lang w:val="en-US"/>
        </w:rPr>
        <w:t xml:space="preserve"> </w:t>
      </w:r>
      <w:r w:rsidRPr="00130446">
        <w:rPr>
          <w:lang w:val="en-US"/>
        </w:rPr>
        <w:t>review of the STCW Convention and Code:</w:t>
      </w:r>
    </w:p>
    <w:p w14:paraId="35B98E83" w14:textId="68BF4BE8" w:rsidR="00130446" w:rsidRPr="00130446" w:rsidRDefault="00130446" w:rsidP="00130446">
      <w:pPr>
        <w:pBdr>
          <w:bottom w:val="single" w:sz="2" w:space="1" w:color="A5A5A5" w:themeColor="accent3"/>
        </w:pBdr>
        <w:ind w:firstLine="708"/>
        <w:rPr>
          <w:lang w:val="en-US"/>
        </w:rPr>
      </w:pPr>
      <w:r w:rsidRPr="00130446">
        <w:rPr>
          <w:lang w:val="en-US"/>
        </w:rPr>
        <w:t>1. Emerging technologies on ships and ship operations</w:t>
      </w:r>
      <w:r>
        <w:rPr>
          <w:lang w:val="en-US"/>
        </w:rPr>
        <w:t>;</w:t>
      </w:r>
    </w:p>
    <w:p w14:paraId="2A9CF987" w14:textId="19D0FFC3" w:rsidR="00130446" w:rsidRPr="00130446" w:rsidRDefault="00130446" w:rsidP="00130446">
      <w:pPr>
        <w:pBdr>
          <w:bottom w:val="single" w:sz="2" w:space="1" w:color="A5A5A5" w:themeColor="accent3"/>
        </w:pBdr>
        <w:ind w:firstLine="708"/>
        <w:rPr>
          <w:lang w:val="en-US"/>
        </w:rPr>
      </w:pPr>
      <w:r w:rsidRPr="00130446">
        <w:rPr>
          <w:lang w:val="en-US"/>
        </w:rPr>
        <w:t xml:space="preserve">2. </w:t>
      </w:r>
      <w:r w:rsidRPr="00130446">
        <w:rPr>
          <w:lang w:val="en-US"/>
        </w:rPr>
        <w:t>Digitalization</w:t>
      </w:r>
      <w:r w:rsidRPr="00130446">
        <w:rPr>
          <w:lang w:val="en-US"/>
        </w:rPr>
        <w:t xml:space="preserve"> of documentation, including certificates issued under STCW</w:t>
      </w:r>
      <w:r>
        <w:rPr>
          <w:lang w:val="en-US"/>
        </w:rPr>
        <w:t>;</w:t>
      </w:r>
    </w:p>
    <w:p w14:paraId="631D83E3" w14:textId="7EC0ED9F" w:rsidR="00130446" w:rsidRPr="00130446" w:rsidRDefault="00130446" w:rsidP="00130446">
      <w:pPr>
        <w:pBdr>
          <w:bottom w:val="single" w:sz="2" w:space="1" w:color="A5A5A5" w:themeColor="accent3"/>
        </w:pBdr>
        <w:ind w:firstLine="708"/>
        <w:rPr>
          <w:lang w:val="en-US"/>
        </w:rPr>
      </w:pPr>
      <w:r w:rsidRPr="00130446">
        <w:rPr>
          <w:lang w:val="en-US"/>
        </w:rPr>
        <w:t>3. Emerging technologies in education and training</w:t>
      </w:r>
      <w:r>
        <w:rPr>
          <w:lang w:val="en-US"/>
        </w:rPr>
        <w:t>;</w:t>
      </w:r>
    </w:p>
    <w:p w14:paraId="4A6E9211" w14:textId="36CC504A" w:rsidR="00130446" w:rsidRPr="00130446" w:rsidRDefault="00130446" w:rsidP="00130446">
      <w:pPr>
        <w:pBdr>
          <w:bottom w:val="single" w:sz="2" w:space="1" w:color="A5A5A5" w:themeColor="accent3"/>
        </w:pBdr>
        <w:ind w:firstLine="708"/>
        <w:rPr>
          <w:lang w:val="en-US"/>
        </w:rPr>
      </w:pPr>
      <w:r w:rsidRPr="00130446">
        <w:rPr>
          <w:lang w:val="en-US"/>
        </w:rPr>
        <w:t>4. Facilitation, flexibility and quality of onboard, shore-based and workshop skills training, including use</w:t>
      </w:r>
      <w:r>
        <w:rPr>
          <w:lang w:val="en-US"/>
        </w:rPr>
        <w:t xml:space="preserve"> </w:t>
      </w:r>
      <w:r w:rsidRPr="00130446">
        <w:rPr>
          <w:lang w:val="en-US"/>
        </w:rPr>
        <w:t>of simulators</w:t>
      </w:r>
      <w:r>
        <w:rPr>
          <w:lang w:val="en-US"/>
        </w:rPr>
        <w:t>;</w:t>
      </w:r>
    </w:p>
    <w:p w14:paraId="38EB608F" w14:textId="43CD53C6" w:rsidR="00130446" w:rsidRPr="00130446" w:rsidRDefault="00130446" w:rsidP="00130446">
      <w:pPr>
        <w:pBdr>
          <w:bottom w:val="single" w:sz="2" w:space="1" w:color="A5A5A5" w:themeColor="accent3"/>
        </w:pBdr>
        <w:ind w:firstLine="708"/>
        <w:rPr>
          <w:lang w:val="en-US"/>
        </w:rPr>
      </w:pPr>
      <w:r w:rsidRPr="00130446">
        <w:rPr>
          <w:lang w:val="en-US"/>
        </w:rPr>
        <w:t>5. Flexibility and efficiency in implementation of new training requirements and reduction of</w:t>
      </w:r>
      <w:r>
        <w:rPr>
          <w:lang w:val="en-US"/>
        </w:rPr>
        <w:t xml:space="preserve"> </w:t>
      </w:r>
      <w:r w:rsidRPr="00130446">
        <w:rPr>
          <w:lang w:val="en-US"/>
        </w:rPr>
        <w:t>administrative burdens</w:t>
      </w:r>
      <w:r>
        <w:rPr>
          <w:lang w:val="en-US"/>
        </w:rPr>
        <w:t>;</w:t>
      </w:r>
    </w:p>
    <w:p w14:paraId="4DA40877" w14:textId="5BD61545" w:rsidR="00130446" w:rsidRPr="00130446" w:rsidRDefault="00130446" w:rsidP="00130446">
      <w:pPr>
        <w:pBdr>
          <w:bottom w:val="single" w:sz="2" w:space="1" w:color="A5A5A5" w:themeColor="accent3"/>
        </w:pBdr>
        <w:ind w:firstLine="708"/>
        <w:rPr>
          <w:lang w:val="en-US"/>
        </w:rPr>
      </w:pPr>
      <w:r w:rsidRPr="00130446">
        <w:rPr>
          <w:lang w:val="en-US"/>
        </w:rPr>
        <w:t>6. Requirements for sea time or practical experience in relation to new and emerging technologies</w:t>
      </w:r>
      <w:r>
        <w:rPr>
          <w:lang w:val="en-US"/>
        </w:rPr>
        <w:t xml:space="preserve"> </w:t>
      </w:r>
      <w:r w:rsidRPr="00130446">
        <w:rPr>
          <w:lang w:val="en-US"/>
        </w:rPr>
        <w:t>including the use of simulation</w:t>
      </w:r>
      <w:r>
        <w:rPr>
          <w:lang w:val="en-US"/>
        </w:rPr>
        <w:t>;</w:t>
      </w:r>
    </w:p>
    <w:p w14:paraId="0C03B227" w14:textId="72547046" w:rsidR="00130446" w:rsidRPr="00130446" w:rsidRDefault="00130446" w:rsidP="00130446">
      <w:pPr>
        <w:pBdr>
          <w:bottom w:val="single" w:sz="2" w:space="1" w:color="A5A5A5" w:themeColor="accent3"/>
        </w:pBdr>
        <w:ind w:firstLine="708"/>
        <w:rPr>
          <w:lang w:val="en-US"/>
        </w:rPr>
      </w:pPr>
      <w:r w:rsidRPr="00130446">
        <w:rPr>
          <w:lang w:val="en-US"/>
        </w:rPr>
        <w:t>7. Psychological safety, bullying and harassment, including SASH, gender diversity and gender</w:t>
      </w:r>
      <w:r>
        <w:rPr>
          <w:lang w:val="en-US"/>
        </w:rPr>
        <w:t xml:space="preserve"> sensitization;</w:t>
      </w:r>
    </w:p>
    <w:p w14:paraId="04D63AF8" w14:textId="4B11D358" w:rsidR="00130446" w:rsidRPr="00130446" w:rsidRDefault="00130446" w:rsidP="00130446">
      <w:pPr>
        <w:pBdr>
          <w:bottom w:val="single" w:sz="2" w:space="1" w:color="A5A5A5" w:themeColor="accent3"/>
        </w:pBdr>
        <w:ind w:firstLine="708"/>
        <w:rPr>
          <w:lang w:val="en-US"/>
        </w:rPr>
      </w:pPr>
      <w:r w:rsidRPr="00130446">
        <w:rPr>
          <w:lang w:val="en-US"/>
        </w:rPr>
        <w:t>8. Mental health</w:t>
      </w:r>
      <w:r>
        <w:rPr>
          <w:lang w:val="en-US"/>
        </w:rPr>
        <w:t>;</w:t>
      </w:r>
    </w:p>
    <w:p w14:paraId="29A0E36F" w14:textId="05E5A4AC" w:rsidR="00130446" w:rsidRPr="00130446" w:rsidRDefault="00130446" w:rsidP="00130446">
      <w:pPr>
        <w:pBdr>
          <w:bottom w:val="single" w:sz="2" w:space="1" w:color="A5A5A5" w:themeColor="accent3"/>
        </w:pBdr>
        <w:ind w:firstLine="708"/>
        <w:rPr>
          <w:lang w:val="en-US"/>
        </w:rPr>
      </w:pPr>
      <w:r w:rsidRPr="00130446">
        <w:rPr>
          <w:lang w:val="en-US"/>
        </w:rPr>
        <w:t>9. Twenty-first century and interpersonal skills</w:t>
      </w:r>
      <w:r>
        <w:rPr>
          <w:lang w:val="en-US"/>
        </w:rPr>
        <w:t>;</w:t>
      </w:r>
    </w:p>
    <w:p w14:paraId="1C41DAAA" w14:textId="55EB1BD2" w:rsidR="00130446" w:rsidRPr="00130446" w:rsidRDefault="00130446" w:rsidP="00130446">
      <w:pPr>
        <w:pBdr>
          <w:bottom w:val="single" w:sz="2" w:space="1" w:color="A5A5A5" w:themeColor="accent3"/>
        </w:pBdr>
        <w:ind w:firstLine="708"/>
        <w:rPr>
          <w:lang w:val="en-US"/>
        </w:rPr>
      </w:pPr>
      <w:r w:rsidRPr="00130446">
        <w:rPr>
          <w:lang w:val="en-US"/>
        </w:rPr>
        <w:t>10. Addressing inconsistencies</w:t>
      </w:r>
      <w:r>
        <w:rPr>
          <w:lang w:val="en-US"/>
        </w:rPr>
        <w:t>;</w:t>
      </w:r>
    </w:p>
    <w:p w14:paraId="256E6E39" w14:textId="3797301D" w:rsidR="00130446" w:rsidRPr="00130446" w:rsidRDefault="00130446" w:rsidP="00130446">
      <w:pPr>
        <w:pBdr>
          <w:bottom w:val="single" w:sz="2" w:space="1" w:color="A5A5A5" w:themeColor="accent3"/>
        </w:pBdr>
        <w:ind w:firstLine="708"/>
        <w:rPr>
          <w:lang w:val="en-US"/>
        </w:rPr>
      </w:pPr>
      <w:r w:rsidRPr="00130446">
        <w:rPr>
          <w:lang w:val="en-US"/>
        </w:rPr>
        <w:t>11. Addressing different interpretations</w:t>
      </w:r>
      <w:r>
        <w:rPr>
          <w:lang w:val="en-US"/>
        </w:rPr>
        <w:t>;</w:t>
      </w:r>
    </w:p>
    <w:p w14:paraId="1887389B" w14:textId="4B52E370" w:rsidR="00130446" w:rsidRPr="00130446" w:rsidRDefault="00130446" w:rsidP="00130446">
      <w:pPr>
        <w:pBdr>
          <w:bottom w:val="single" w:sz="2" w:space="1" w:color="A5A5A5" w:themeColor="accent3"/>
        </w:pBdr>
        <w:ind w:firstLine="708"/>
        <w:rPr>
          <w:lang w:val="en-US"/>
        </w:rPr>
      </w:pPr>
      <w:r w:rsidRPr="00130446">
        <w:rPr>
          <w:lang w:val="en-US"/>
        </w:rPr>
        <w:t>12. Addressing taxonomy and terminologies</w:t>
      </w:r>
      <w:r>
        <w:rPr>
          <w:lang w:val="en-US"/>
        </w:rPr>
        <w:t>;</w:t>
      </w:r>
    </w:p>
    <w:p w14:paraId="1693591E" w14:textId="1294A6EB" w:rsidR="00130446" w:rsidRPr="00130446" w:rsidRDefault="00130446" w:rsidP="00130446">
      <w:pPr>
        <w:pBdr>
          <w:bottom w:val="single" w:sz="2" w:space="1" w:color="A5A5A5" w:themeColor="accent3"/>
        </w:pBdr>
        <w:ind w:firstLine="708"/>
        <w:rPr>
          <w:lang w:val="en-US"/>
        </w:rPr>
      </w:pPr>
      <w:r w:rsidRPr="00130446">
        <w:rPr>
          <w:lang w:val="en-US"/>
        </w:rPr>
        <w:t>13. Flexibility in revalidation of certificates and endorsements</w:t>
      </w:r>
      <w:r>
        <w:rPr>
          <w:lang w:val="en-US"/>
        </w:rPr>
        <w:t>;</w:t>
      </w:r>
    </w:p>
    <w:p w14:paraId="6AE9747B" w14:textId="58E419BF" w:rsidR="00130446" w:rsidRPr="00130446" w:rsidRDefault="00130446" w:rsidP="00130446">
      <w:pPr>
        <w:pBdr>
          <w:bottom w:val="single" w:sz="2" w:space="1" w:color="A5A5A5" w:themeColor="accent3"/>
        </w:pBdr>
        <w:ind w:firstLine="708"/>
        <w:rPr>
          <w:lang w:val="en-US"/>
        </w:rPr>
      </w:pPr>
      <w:r w:rsidRPr="00130446">
        <w:rPr>
          <w:lang w:val="en-US"/>
        </w:rPr>
        <w:t>14. Overview of the implementation of the Convention, in particular the need to update the STCW "White</w:t>
      </w:r>
      <w:r>
        <w:rPr>
          <w:lang w:val="en-US"/>
        </w:rPr>
        <w:t xml:space="preserve"> </w:t>
      </w:r>
      <w:r w:rsidRPr="00130446">
        <w:rPr>
          <w:lang w:val="en-US"/>
        </w:rPr>
        <w:t>List"</w:t>
      </w:r>
      <w:r w:rsidR="00B44525">
        <w:rPr>
          <w:lang w:val="en-US"/>
        </w:rPr>
        <w:t>;</w:t>
      </w:r>
    </w:p>
    <w:p w14:paraId="192674D8" w14:textId="41BCAA8D" w:rsidR="00130446" w:rsidRPr="00130446" w:rsidRDefault="00130446" w:rsidP="00130446">
      <w:pPr>
        <w:pBdr>
          <w:bottom w:val="single" w:sz="2" w:space="1" w:color="A5A5A5" w:themeColor="accent3"/>
        </w:pBdr>
        <w:ind w:firstLine="708"/>
        <w:rPr>
          <w:lang w:val="en-US"/>
        </w:rPr>
      </w:pPr>
      <w:r w:rsidRPr="00130446">
        <w:rPr>
          <w:lang w:val="en-US"/>
        </w:rPr>
        <w:t>15. Lessons learned</w:t>
      </w:r>
      <w:r w:rsidR="00B44525">
        <w:rPr>
          <w:lang w:val="en-US"/>
        </w:rPr>
        <w:t>;</w:t>
      </w:r>
    </w:p>
    <w:p w14:paraId="735D3425" w14:textId="7DE7A7DB" w:rsidR="00130446" w:rsidRPr="00130446" w:rsidRDefault="00130446" w:rsidP="00130446">
      <w:pPr>
        <w:pBdr>
          <w:bottom w:val="single" w:sz="2" w:space="1" w:color="A5A5A5" w:themeColor="accent3"/>
        </w:pBdr>
        <w:ind w:firstLine="708"/>
        <w:rPr>
          <w:lang w:val="en-US"/>
        </w:rPr>
      </w:pPr>
      <w:r w:rsidRPr="00130446">
        <w:rPr>
          <w:lang w:val="en-US"/>
        </w:rPr>
        <w:t>16. Flexibility</w:t>
      </w:r>
      <w:r w:rsidR="00B44525">
        <w:rPr>
          <w:lang w:val="en-US"/>
        </w:rPr>
        <w:t>;</w:t>
      </w:r>
    </w:p>
    <w:p w14:paraId="59A659B0" w14:textId="3B1F6516" w:rsidR="00130446" w:rsidRPr="00130446" w:rsidRDefault="00130446" w:rsidP="00130446">
      <w:pPr>
        <w:pBdr>
          <w:bottom w:val="single" w:sz="2" w:space="1" w:color="A5A5A5" w:themeColor="accent3"/>
        </w:pBdr>
        <w:ind w:firstLine="708"/>
        <w:rPr>
          <w:lang w:val="en-US"/>
        </w:rPr>
      </w:pPr>
      <w:r w:rsidRPr="00130446">
        <w:rPr>
          <w:lang w:val="en-US"/>
        </w:rPr>
        <w:t>17. Alternative certification under chapter VII</w:t>
      </w:r>
      <w:r w:rsidR="00B44525">
        <w:rPr>
          <w:lang w:val="en-US"/>
        </w:rPr>
        <w:t>;</w:t>
      </w:r>
    </w:p>
    <w:p w14:paraId="5DCBA4A7" w14:textId="3E75BF74" w:rsidR="00130446" w:rsidRPr="00130446" w:rsidRDefault="00130446" w:rsidP="00130446">
      <w:pPr>
        <w:pBdr>
          <w:bottom w:val="single" w:sz="2" w:space="1" w:color="A5A5A5" w:themeColor="accent3"/>
        </w:pBdr>
        <w:ind w:firstLine="708"/>
        <w:rPr>
          <w:lang w:val="en-US"/>
        </w:rPr>
      </w:pPr>
      <w:r w:rsidRPr="00130446">
        <w:rPr>
          <w:lang w:val="en-US"/>
        </w:rPr>
        <w:t>18. Watchkeeping arrangements and principles to be observed (chapter VIII)</w:t>
      </w:r>
      <w:r w:rsidR="00B44525">
        <w:rPr>
          <w:lang w:val="en-US"/>
        </w:rPr>
        <w:t>;</w:t>
      </w:r>
    </w:p>
    <w:p w14:paraId="74DA5A31" w14:textId="463EA366" w:rsidR="00130446" w:rsidRPr="00130446" w:rsidRDefault="00130446" w:rsidP="00130446">
      <w:pPr>
        <w:pBdr>
          <w:bottom w:val="single" w:sz="2" w:space="1" w:color="A5A5A5" w:themeColor="accent3"/>
        </w:pBdr>
        <w:ind w:firstLine="708"/>
        <w:rPr>
          <w:lang w:val="en-US"/>
        </w:rPr>
      </w:pPr>
      <w:r w:rsidRPr="00130446">
        <w:rPr>
          <w:lang w:val="en-US"/>
        </w:rPr>
        <w:t>19. Alignment of STCW with requirements placed on ships, seafarers, and shipowners by other IMO and</w:t>
      </w:r>
      <w:r>
        <w:rPr>
          <w:lang w:val="en-US"/>
        </w:rPr>
        <w:t xml:space="preserve"> </w:t>
      </w:r>
      <w:r w:rsidRPr="00130446">
        <w:rPr>
          <w:lang w:val="en-US"/>
        </w:rPr>
        <w:t>relevant international instruments</w:t>
      </w:r>
      <w:r w:rsidR="00B44525">
        <w:rPr>
          <w:lang w:val="en-US"/>
        </w:rPr>
        <w:t>;</w:t>
      </w:r>
    </w:p>
    <w:p w14:paraId="77C2F8B1" w14:textId="3111EA78" w:rsidR="00130446" w:rsidRPr="00130446" w:rsidRDefault="00130446" w:rsidP="00130446">
      <w:pPr>
        <w:pBdr>
          <w:bottom w:val="single" w:sz="2" w:space="1" w:color="A5A5A5" w:themeColor="accent3"/>
        </w:pBdr>
        <w:ind w:firstLine="708"/>
        <w:rPr>
          <w:lang w:val="en-US"/>
        </w:rPr>
      </w:pPr>
      <w:r w:rsidRPr="00130446">
        <w:rPr>
          <w:lang w:val="en-US"/>
        </w:rPr>
        <w:lastRenderedPageBreak/>
        <w:t>20. Cybersecurity</w:t>
      </w:r>
      <w:r w:rsidR="00B44525">
        <w:rPr>
          <w:lang w:val="en-US"/>
        </w:rPr>
        <w:t>;</w:t>
      </w:r>
    </w:p>
    <w:p w14:paraId="0DCB97EA" w14:textId="175CB964" w:rsidR="00130446" w:rsidRPr="00130446" w:rsidRDefault="00130446" w:rsidP="00130446">
      <w:pPr>
        <w:pBdr>
          <w:bottom w:val="single" w:sz="2" w:space="1" w:color="A5A5A5" w:themeColor="accent3"/>
        </w:pBdr>
        <w:ind w:firstLine="708"/>
        <w:rPr>
          <w:lang w:val="en-US"/>
        </w:rPr>
      </w:pPr>
      <w:r w:rsidRPr="00130446">
        <w:rPr>
          <w:lang w:val="en-US"/>
        </w:rPr>
        <w:t>21. Implementation and transitional provisions</w:t>
      </w:r>
      <w:r w:rsidR="00B44525">
        <w:rPr>
          <w:lang w:val="en-US"/>
        </w:rPr>
        <w:t>;</w:t>
      </w:r>
    </w:p>
    <w:p w14:paraId="568F97FD" w14:textId="5B40E2DB" w:rsidR="00130446" w:rsidRPr="00130446" w:rsidRDefault="00130446" w:rsidP="00130446">
      <w:pPr>
        <w:pBdr>
          <w:bottom w:val="single" w:sz="2" w:space="1" w:color="A5A5A5" w:themeColor="accent3"/>
        </w:pBdr>
        <w:ind w:firstLine="708"/>
        <w:rPr>
          <w:lang w:val="en-US"/>
        </w:rPr>
      </w:pPr>
      <w:r w:rsidRPr="00130446">
        <w:rPr>
          <w:lang w:val="en-US"/>
        </w:rPr>
        <w:t>22. Addressing outdated training requirements</w:t>
      </w:r>
      <w:r w:rsidR="00B44525">
        <w:rPr>
          <w:lang w:val="en-US"/>
        </w:rPr>
        <w:t>;</w:t>
      </w:r>
    </w:p>
    <w:p w14:paraId="4CAAB3A9" w14:textId="5DC6B6A6" w:rsidR="00130446" w:rsidRPr="00130446" w:rsidRDefault="00130446" w:rsidP="00130446">
      <w:pPr>
        <w:pBdr>
          <w:bottom w:val="single" w:sz="2" w:space="1" w:color="A5A5A5" w:themeColor="accent3"/>
        </w:pBdr>
        <w:ind w:firstLine="708"/>
        <w:rPr>
          <w:lang w:val="en-US"/>
        </w:rPr>
      </w:pPr>
      <w:r w:rsidRPr="00130446">
        <w:rPr>
          <w:lang w:val="en-US"/>
        </w:rPr>
        <w:t>The above specific areas will now be sent to MSC for the Committee’s agreement.</w:t>
      </w:r>
    </w:p>
    <w:p w14:paraId="415DB71C" w14:textId="634BC7DE" w:rsidR="00130446" w:rsidRDefault="00130446" w:rsidP="00130446">
      <w:pPr>
        <w:pBdr>
          <w:bottom w:val="single" w:sz="2" w:space="1" w:color="A5A5A5" w:themeColor="accent3"/>
        </w:pBdr>
        <w:ind w:firstLine="708"/>
        <w:rPr>
          <w:lang w:val="en-US"/>
        </w:rPr>
      </w:pPr>
    </w:p>
    <w:p w14:paraId="38DB2240" w14:textId="77777777" w:rsidR="00B44525" w:rsidRPr="00B44525" w:rsidRDefault="00B44525" w:rsidP="00B44525">
      <w:pPr>
        <w:pBdr>
          <w:bottom w:val="single" w:sz="2" w:space="1" w:color="A5A5A5" w:themeColor="accent3"/>
        </w:pBdr>
        <w:ind w:firstLine="708"/>
        <w:rPr>
          <w:b/>
          <w:i/>
          <w:lang w:val="en-US"/>
        </w:rPr>
      </w:pPr>
      <w:r w:rsidRPr="00B44525">
        <w:rPr>
          <w:b/>
          <w:i/>
          <w:lang w:val="en-US"/>
        </w:rPr>
        <w:t>Proposals for new amendments to the STCW Convention and Code</w:t>
      </w:r>
    </w:p>
    <w:p w14:paraId="11757F69" w14:textId="1B631A5C" w:rsidR="00B44525" w:rsidRPr="00B44525" w:rsidRDefault="00B44525" w:rsidP="00B44525">
      <w:pPr>
        <w:pBdr>
          <w:bottom w:val="single" w:sz="2" w:space="1" w:color="A5A5A5" w:themeColor="accent3"/>
        </w:pBdr>
        <w:ind w:firstLine="708"/>
        <w:rPr>
          <w:lang w:val="en-US"/>
        </w:rPr>
      </w:pPr>
      <w:r w:rsidRPr="00B44525">
        <w:rPr>
          <w:lang w:val="en-US"/>
        </w:rPr>
        <w:t>Several proposals for amendments to the STCW Convention and Code were submitted for HTW’s</w:t>
      </w:r>
      <w:r>
        <w:rPr>
          <w:lang w:val="en-US"/>
        </w:rPr>
        <w:t xml:space="preserve"> </w:t>
      </w:r>
      <w:r w:rsidRPr="00B44525">
        <w:rPr>
          <w:lang w:val="en-US"/>
        </w:rPr>
        <w:t>consideration including:</w:t>
      </w:r>
    </w:p>
    <w:p w14:paraId="61D9F0BA" w14:textId="03A84DBC" w:rsidR="00B44525" w:rsidRPr="00B44525" w:rsidRDefault="00B44525" w:rsidP="00B44525">
      <w:pPr>
        <w:pBdr>
          <w:bottom w:val="single" w:sz="2" w:space="1" w:color="A5A5A5" w:themeColor="accent3"/>
        </w:pBdr>
        <w:ind w:firstLine="708"/>
        <w:rPr>
          <w:lang w:val="en-US"/>
        </w:rPr>
      </w:pPr>
      <w:r>
        <w:rPr>
          <w:lang w:val="en-US"/>
        </w:rPr>
        <w:t>-</w:t>
      </w:r>
      <w:r w:rsidRPr="00B44525">
        <w:rPr>
          <w:lang w:val="en-US"/>
        </w:rPr>
        <w:t xml:space="preserve"> Amendments to section B-VI/4 of the STCW Code regarding the inclusion of a footnote referring to the</w:t>
      </w:r>
      <w:r>
        <w:rPr>
          <w:lang w:val="en-US"/>
        </w:rPr>
        <w:t xml:space="preserve"> </w:t>
      </w:r>
      <w:r w:rsidRPr="00B44525">
        <w:rPr>
          <w:lang w:val="en-US"/>
        </w:rPr>
        <w:t>use of an industry-developed medical guide for ships</w:t>
      </w:r>
      <w:r>
        <w:rPr>
          <w:lang w:val="en-US"/>
        </w:rPr>
        <w:t>;</w:t>
      </w:r>
    </w:p>
    <w:p w14:paraId="4F072EAD" w14:textId="1ED8818F" w:rsidR="00B44525" w:rsidRPr="00B44525" w:rsidRDefault="00B44525" w:rsidP="00B44525">
      <w:pPr>
        <w:pBdr>
          <w:bottom w:val="single" w:sz="2" w:space="1" w:color="A5A5A5" w:themeColor="accent3"/>
        </w:pBdr>
        <w:ind w:firstLine="708"/>
        <w:rPr>
          <w:lang w:val="en-US"/>
        </w:rPr>
      </w:pPr>
      <w:r>
        <w:rPr>
          <w:lang w:val="en-US"/>
        </w:rPr>
        <w:t>-</w:t>
      </w:r>
      <w:r w:rsidRPr="00B44525">
        <w:rPr>
          <w:lang w:val="en-US"/>
        </w:rPr>
        <w:t xml:space="preserve"> Amendments to the STCW Code concerning a new competence on navigation in a Global </w:t>
      </w:r>
      <w:r w:rsidRPr="00B44525">
        <w:rPr>
          <w:lang w:val="en-US"/>
        </w:rPr>
        <w:t>Navigation</w:t>
      </w:r>
      <w:r>
        <w:rPr>
          <w:lang w:val="en-US"/>
        </w:rPr>
        <w:t xml:space="preserve"> </w:t>
      </w:r>
      <w:r w:rsidRPr="00B44525">
        <w:rPr>
          <w:lang w:val="en-US"/>
        </w:rPr>
        <w:t>Satellite System (GNSS) environment impacted by external interference</w:t>
      </w:r>
      <w:r>
        <w:rPr>
          <w:lang w:val="en-US"/>
        </w:rPr>
        <w:t>;</w:t>
      </w:r>
    </w:p>
    <w:p w14:paraId="6864E49A" w14:textId="52F8D2AC" w:rsidR="00B44525" w:rsidRPr="00B44525" w:rsidRDefault="00B44525" w:rsidP="00B44525">
      <w:pPr>
        <w:pBdr>
          <w:bottom w:val="single" w:sz="2" w:space="1" w:color="A5A5A5" w:themeColor="accent3"/>
        </w:pBdr>
        <w:ind w:firstLine="708"/>
        <w:rPr>
          <w:lang w:val="en-US"/>
        </w:rPr>
      </w:pPr>
      <w:r>
        <w:rPr>
          <w:lang w:val="en-US"/>
        </w:rPr>
        <w:t>-</w:t>
      </w:r>
      <w:r w:rsidRPr="00B44525">
        <w:rPr>
          <w:lang w:val="en-US"/>
        </w:rPr>
        <w:t xml:space="preserve"> Developing guidelines for mandatory onboard training containing specific training time and methods of</w:t>
      </w:r>
      <w:r>
        <w:rPr>
          <w:lang w:val="en-US"/>
        </w:rPr>
        <w:t xml:space="preserve"> </w:t>
      </w:r>
      <w:r w:rsidRPr="00B44525">
        <w:rPr>
          <w:lang w:val="en-US"/>
        </w:rPr>
        <w:t>approved seagoing service</w:t>
      </w:r>
      <w:r>
        <w:rPr>
          <w:lang w:val="en-US"/>
        </w:rPr>
        <w:t>;</w:t>
      </w:r>
    </w:p>
    <w:p w14:paraId="01A2D472" w14:textId="50B5A8E1" w:rsidR="00B44525" w:rsidRPr="00B44525" w:rsidRDefault="00B44525" w:rsidP="00B44525">
      <w:pPr>
        <w:pBdr>
          <w:bottom w:val="single" w:sz="2" w:space="1" w:color="A5A5A5" w:themeColor="accent3"/>
        </w:pBdr>
        <w:ind w:firstLine="708"/>
        <w:rPr>
          <w:lang w:val="en-US"/>
        </w:rPr>
      </w:pPr>
      <w:r>
        <w:rPr>
          <w:lang w:val="en-US"/>
        </w:rPr>
        <w:t>-</w:t>
      </w:r>
      <w:r w:rsidRPr="00B44525">
        <w:rPr>
          <w:lang w:val="en-US"/>
        </w:rPr>
        <w:t xml:space="preserve"> Recommendations for Polar Code training </w:t>
      </w:r>
      <w:r w:rsidRPr="00B44525">
        <w:rPr>
          <w:lang w:val="en-US"/>
        </w:rPr>
        <w:t>programs</w:t>
      </w:r>
      <w:r w:rsidRPr="00B44525">
        <w:rPr>
          <w:lang w:val="en-US"/>
        </w:rPr>
        <w:t>.</w:t>
      </w:r>
    </w:p>
    <w:p w14:paraId="60C81D6F" w14:textId="641CA8B7" w:rsidR="00B44525" w:rsidRDefault="00B44525" w:rsidP="00130446">
      <w:pPr>
        <w:pBdr>
          <w:bottom w:val="single" w:sz="2" w:space="1" w:color="A5A5A5" w:themeColor="accent3"/>
        </w:pBdr>
        <w:ind w:firstLine="708"/>
        <w:rPr>
          <w:lang w:val="en-US"/>
        </w:rPr>
      </w:pPr>
    </w:p>
    <w:p w14:paraId="67D31B06" w14:textId="77777777" w:rsidR="00B44525" w:rsidRPr="00B44525" w:rsidRDefault="00B44525" w:rsidP="00B44525">
      <w:pPr>
        <w:pBdr>
          <w:bottom w:val="single" w:sz="2" w:space="1" w:color="A5A5A5" w:themeColor="accent3"/>
        </w:pBdr>
        <w:ind w:firstLine="708"/>
        <w:rPr>
          <w:b/>
          <w:i/>
          <w:lang w:val="en-US"/>
        </w:rPr>
      </w:pPr>
      <w:r w:rsidRPr="00B44525">
        <w:rPr>
          <w:b/>
          <w:i/>
          <w:lang w:val="en-US"/>
        </w:rPr>
        <w:t>Accessibility of information related to medical provisions in the STCW Convention</w:t>
      </w:r>
    </w:p>
    <w:p w14:paraId="3A815151" w14:textId="4547CC7D" w:rsidR="00B44525" w:rsidRDefault="00B44525" w:rsidP="00B44525">
      <w:pPr>
        <w:pBdr>
          <w:bottom w:val="single" w:sz="2" w:space="1" w:color="A5A5A5" w:themeColor="accent3"/>
        </w:pBdr>
        <w:ind w:firstLine="708"/>
        <w:rPr>
          <w:lang w:val="en-US"/>
        </w:rPr>
      </w:pPr>
      <w:r w:rsidRPr="00B44525">
        <w:rPr>
          <w:lang w:val="en-US"/>
        </w:rPr>
        <w:t>A proposal for a draft MSC resolution on accessibility of information related to medical provisions in the STCW</w:t>
      </w:r>
      <w:r>
        <w:rPr>
          <w:lang w:val="en-US"/>
        </w:rPr>
        <w:t xml:space="preserve"> </w:t>
      </w:r>
      <w:r w:rsidRPr="00B44525">
        <w:rPr>
          <w:lang w:val="en-US"/>
        </w:rPr>
        <w:t>Convention was not considered but will be forwarded to the Inter-Sessional Working Group for their</w:t>
      </w:r>
      <w:r>
        <w:rPr>
          <w:lang w:val="en-US"/>
        </w:rPr>
        <w:t xml:space="preserve"> </w:t>
      </w:r>
      <w:r w:rsidRPr="00B44525">
        <w:rPr>
          <w:lang w:val="en-US"/>
        </w:rPr>
        <w:t>consideration.</w:t>
      </w:r>
    </w:p>
    <w:p w14:paraId="3ED23CD7" w14:textId="77777777" w:rsidR="00B44525" w:rsidRPr="00B44525" w:rsidRDefault="00B44525" w:rsidP="008576EA">
      <w:pPr>
        <w:pBdr>
          <w:bottom w:val="single" w:sz="2" w:space="1" w:color="A5A5A5" w:themeColor="accent3"/>
        </w:pBdr>
        <w:rPr>
          <w:lang w:val="en-US"/>
        </w:rPr>
      </w:pPr>
    </w:p>
    <w:p w14:paraId="01CAC5E1" w14:textId="7EB56CDD" w:rsidR="00130446" w:rsidRPr="008576EA" w:rsidRDefault="008576EA" w:rsidP="008576EA">
      <w:pPr>
        <w:pBdr>
          <w:bottom w:val="single" w:sz="2" w:space="1" w:color="A5A5A5" w:themeColor="accent3"/>
        </w:pBdr>
        <w:ind w:firstLine="708"/>
        <w:rPr>
          <w:b/>
          <w:i/>
          <w:lang w:val="en-US"/>
        </w:rPr>
      </w:pPr>
      <w:r w:rsidRPr="008576EA">
        <w:rPr>
          <w:b/>
          <w:i/>
          <w:lang w:val="en-US"/>
        </w:rPr>
        <w:t>T</w:t>
      </w:r>
      <w:r w:rsidR="00130446" w:rsidRPr="008576EA">
        <w:rPr>
          <w:b/>
          <w:i/>
          <w:lang w:val="en-US"/>
        </w:rPr>
        <w:t xml:space="preserve">he Sub-Committee agreed: </w:t>
      </w:r>
    </w:p>
    <w:p w14:paraId="5B1609ED" w14:textId="55C430AC" w:rsidR="00130446" w:rsidRPr="00130446" w:rsidRDefault="008576EA" w:rsidP="00130446">
      <w:pPr>
        <w:pBdr>
          <w:bottom w:val="single" w:sz="2" w:space="1" w:color="A5A5A5" w:themeColor="accent3"/>
        </w:pBdr>
        <w:ind w:firstLine="708"/>
        <w:rPr>
          <w:lang w:val="en-US"/>
        </w:rPr>
      </w:pPr>
      <w:r>
        <w:rPr>
          <w:lang w:val="en-US"/>
        </w:rPr>
        <w:t xml:space="preserve">- </w:t>
      </w:r>
      <w:r w:rsidR="00130446" w:rsidRPr="00130446">
        <w:rPr>
          <w:lang w:val="en-US"/>
        </w:rPr>
        <w:t xml:space="preserve">22 specific areas of the Convention and Code to be reviewed, including addressing training requirements for emerging technologies on ships, e-certification, mental health and gender sensitization, among others; </w:t>
      </w:r>
    </w:p>
    <w:p w14:paraId="7787A3FC" w14:textId="7BE0C744" w:rsidR="00130446" w:rsidRPr="00130446" w:rsidRDefault="008576EA" w:rsidP="00130446">
      <w:pPr>
        <w:pBdr>
          <w:bottom w:val="single" w:sz="2" w:space="1" w:color="A5A5A5" w:themeColor="accent3"/>
        </w:pBdr>
        <w:ind w:firstLine="708"/>
        <w:rPr>
          <w:lang w:val="en-US"/>
        </w:rPr>
      </w:pPr>
      <w:r>
        <w:rPr>
          <w:lang w:val="en-US"/>
        </w:rPr>
        <w:t xml:space="preserve">- </w:t>
      </w:r>
      <w:r w:rsidRPr="00130446">
        <w:rPr>
          <w:lang w:val="en-US"/>
        </w:rPr>
        <w:t xml:space="preserve">A </w:t>
      </w:r>
      <w:r w:rsidR="00130446" w:rsidRPr="00130446">
        <w:rPr>
          <w:lang w:val="en-US"/>
        </w:rPr>
        <w:t xml:space="preserve">two-step methodology, consisting of a review of the Convention and Code to identify gaps (Phase 1) and then a revision stage to develop amendments to address those gaps (Phase 2); </w:t>
      </w:r>
    </w:p>
    <w:p w14:paraId="29AAF80E" w14:textId="1D34327B" w:rsidR="00130446" w:rsidRPr="00130446" w:rsidRDefault="008576EA" w:rsidP="00130446">
      <w:pPr>
        <w:pBdr>
          <w:bottom w:val="single" w:sz="2" w:space="1" w:color="A5A5A5" w:themeColor="accent3"/>
        </w:pBdr>
        <w:ind w:firstLine="708"/>
        <w:rPr>
          <w:lang w:val="en-US"/>
        </w:rPr>
      </w:pPr>
      <w:r>
        <w:rPr>
          <w:lang w:val="en-US"/>
        </w:rPr>
        <w:t xml:space="preserve">- </w:t>
      </w:r>
      <w:r w:rsidRPr="00130446">
        <w:rPr>
          <w:lang w:val="en-US"/>
        </w:rPr>
        <w:t xml:space="preserve">Establishment </w:t>
      </w:r>
      <w:r w:rsidR="00130446" w:rsidRPr="00130446">
        <w:rPr>
          <w:lang w:val="en-US"/>
        </w:rPr>
        <w:t>of an Inter-sessional Working Group before the next session of the Sub-Committee (HTW 11) to advance the work, subject to decision by the MSC and the IMO Council;</w:t>
      </w:r>
    </w:p>
    <w:p w14:paraId="1EFAEE28" w14:textId="6CE5F995" w:rsidR="00130446" w:rsidRPr="00130446" w:rsidRDefault="008576EA" w:rsidP="00130446">
      <w:pPr>
        <w:pBdr>
          <w:bottom w:val="single" w:sz="2" w:space="1" w:color="A5A5A5" w:themeColor="accent3"/>
        </w:pBdr>
        <w:ind w:firstLine="708"/>
        <w:rPr>
          <w:lang w:val="en-US"/>
        </w:rPr>
      </w:pPr>
      <w:r>
        <w:rPr>
          <w:lang w:val="en-US"/>
        </w:rPr>
        <w:t xml:space="preserve">- </w:t>
      </w:r>
      <w:r w:rsidRPr="00130446">
        <w:rPr>
          <w:lang w:val="en-US"/>
        </w:rPr>
        <w:t xml:space="preserve">A </w:t>
      </w:r>
      <w:r w:rsidR="00130446" w:rsidRPr="00130446">
        <w:rPr>
          <w:lang w:val="en-US"/>
        </w:rPr>
        <w:t>roadmap outlining a timeline for action, including finalizing the list of gaps identified by Spring 2025 (HTW11); finalizing draft text of amendments and resolutions by Spring 2027 (HTW13)</w:t>
      </w:r>
      <w:r>
        <w:rPr>
          <w:lang w:val="en-US"/>
        </w:rPr>
        <w:t>.</w:t>
      </w:r>
      <w:r w:rsidR="00130446" w:rsidRPr="00130446">
        <w:rPr>
          <w:lang w:val="en-US"/>
        </w:rPr>
        <w:t xml:space="preserve"> </w:t>
      </w:r>
    </w:p>
    <w:p w14:paraId="1B8F296F" w14:textId="77777777" w:rsidR="00130446" w:rsidRPr="00130446" w:rsidRDefault="00130446" w:rsidP="00130446">
      <w:pPr>
        <w:pBdr>
          <w:bottom w:val="single" w:sz="2" w:space="1" w:color="A5A5A5" w:themeColor="accent3"/>
        </w:pBdr>
        <w:ind w:firstLine="708"/>
        <w:rPr>
          <w:lang w:val="en-US"/>
        </w:rPr>
      </w:pPr>
      <w:r w:rsidRPr="00130446">
        <w:rPr>
          <w:lang w:val="en-US"/>
        </w:rPr>
        <w:t xml:space="preserve">All the above will be submitted to the upcoming 108th meeting of the Maritime Safety Committee (MSC 108) for approval. </w:t>
      </w:r>
    </w:p>
    <w:p w14:paraId="5E3543F1" w14:textId="77777777" w:rsidR="00130446" w:rsidRPr="00130446" w:rsidRDefault="00130446" w:rsidP="00130446">
      <w:pPr>
        <w:pBdr>
          <w:bottom w:val="single" w:sz="2" w:space="1" w:color="A5A5A5" w:themeColor="accent3"/>
        </w:pBdr>
        <w:ind w:firstLine="708"/>
        <w:rPr>
          <w:lang w:val="en-US"/>
        </w:rPr>
      </w:pPr>
    </w:p>
    <w:p w14:paraId="078A877F" w14:textId="4DA4CAFB" w:rsidR="00130446" w:rsidRPr="008576EA" w:rsidRDefault="00130446" w:rsidP="008576EA">
      <w:pPr>
        <w:pBdr>
          <w:bottom w:val="single" w:sz="2" w:space="1" w:color="A5A5A5" w:themeColor="accent3"/>
        </w:pBdr>
        <w:ind w:firstLine="708"/>
        <w:rPr>
          <w:b/>
          <w:i/>
          <w:lang w:val="en-US"/>
        </w:rPr>
      </w:pPr>
      <w:r w:rsidRPr="008576EA">
        <w:rPr>
          <w:b/>
          <w:i/>
          <w:lang w:val="en-US"/>
        </w:rPr>
        <w:t xml:space="preserve">Enhanced efforts on prevention and addressing bullying and harassment </w:t>
      </w:r>
    </w:p>
    <w:p w14:paraId="15386E15" w14:textId="460BD0C8" w:rsidR="00130446" w:rsidRPr="00130446" w:rsidRDefault="00130446" w:rsidP="008576EA">
      <w:pPr>
        <w:pBdr>
          <w:bottom w:val="single" w:sz="2" w:space="1" w:color="A5A5A5" w:themeColor="accent3"/>
        </w:pBdr>
        <w:ind w:firstLine="708"/>
        <w:rPr>
          <w:lang w:val="en-US"/>
        </w:rPr>
      </w:pPr>
      <w:r w:rsidRPr="00130446">
        <w:rPr>
          <w:lang w:val="en-US"/>
        </w:rPr>
        <w:t xml:space="preserve">As part of the comprehensive review of the STCW Convention and Code, the Sub-Committee finalized the draft terms of reference for the revision of Model Course 1.21 on Personal Safety and Social Responsibilities, with a view to validation at HTW 12 (2026). The aim is to incorporate new competencies to help prevent and respond to all sorts of bullying and harassment in the maritime sector. </w:t>
      </w:r>
    </w:p>
    <w:p w14:paraId="2F30E91C" w14:textId="4E555B14" w:rsidR="00130446" w:rsidRPr="00130446" w:rsidRDefault="00130446" w:rsidP="008576EA">
      <w:pPr>
        <w:pBdr>
          <w:bottom w:val="single" w:sz="2" w:space="1" w:color="A5A5A5" w:themeColor="accent3"/>
        </w:pBdr>
        <w:ind w:firstLine="708"/>
        <w:rPr>
          <w:lang w:val="en-US"/>
        </w:rPr>
      </w:pPr>
      <w:r w:rsidRPr="00130446">
        <w:rPr>
          <w:lang w:val="en-US"/>
        </w:rPr>
        <w:t xml:space="preserve">MSC 108 is expected to adopt draft amendments to STCW Code, to prevent and respond to bullying and harassment in the maritime sector, including sexual assault and sexual harassment (SASH), following review of the approved draft amendments by the next meeting of the joint ILO/IMO Tripartite Working Group to Identify and Address Seafarers' Issues and the Human Element (JTWG), which meets from 27 to 29 February 2024, at IMO headquarters in London.   </w:t>
      </w:r>
    </w:p>
    <w:p w14:paraId="026BABD8" w14:textId="77777777" w:rsidR="00130446" w:rsidRPr="00130446" w:rsidRDefault="00130446" w:rsidP="00130446">
      <w:pPr>
        <w:pBdr>
          <w:bottom w:val="single" w:sz="2" w:space="1" w:color="A5A5A5" w:themeColor="accent3"/>
        </w:pBdr>
        <w:ind w:firstLine="708"/>
        <w:rPr>
          <w:lang w:val="en-US"/>
        </w:rPr>
      </w:pPr>
      <w:r w:rsidRPr="00130446">
        <w:rPr>
          <w:lang w:val="en-US"/>
        </w:rPr>
        <w:t xml:space="preserve">The new provisions will apply to all seafarers by means of amendments to the STCW Code, table A-VI/1-4 (Specification of minimum standard of competence in personal safety and social responsibilities).   </w:t>
      </w:r>
    </w:p>
    <w:p w14:paraId="77AC3AAF" w14:textId="77777777" w:rsidR="00130446" w:rsidRPr="00130446" w:rsidRDefault="00130446" w:rsidP="00130446">
      <w:pPr>
        <w:pBdr>
          <w:bottom w:val="single" w:sz="2" w:space="1" w:color="A5A5A5" w:themeColor="accent3"/>
        </w:pBdr>
        <w:ind w:firstLine="708"/>
        <w:rPr>
          <w:lang w:val="en-US"/>
        </w:rPr>
      </w:pPr>
    </w:p>
    <w:p w14:paraId="2A7981BF" w14:textId="3B93E09D" w:rsidR="00130446" w:rsidRPr="008576EA" w:rsidRDefault="00130446" w:rsidP="008576EA">
      <w:pPr>
        <w:pBdr>
          <w:bottom w:val="single" w:sz="2" w:space="1" w:color="A5A5A5" w:themeColor="accent3"/>
        </w:pBdr>
        <w:ind w:firstLine="708"/>
        <w:rPr>
          <w:b/>
          <w:i/>
          <w:lang w:val="en-US"/>
        </w:rPr>
      </w:pPr>
      <w:r w:rsidRPr="008576EA">
        <w:rPr>
          <w:b/>
          <w:i/>
          <w:lang w:val="en-US"/>
        </w:rPr>
        <w:t xml:space="preserve">Training for seafarers on ships using alternative fuels </w:t>
      </w:r>
    </w:p>
    <w:p w14:paraId="6D3E668F" w14:textId="331CB26A" w:rsidR="00130446" w:rsidRPr="00130446" w:rsidRDefault="00130446" w:rsidP="008576EA">
      <w:pPr>
        <w:pBdr>
          <w:bottom w:val="single" w:sz="2" w:space="1" w:color="A5A5A5" w:themeColor="accent3"/>
        </w:pBdr>
        <w:ind w:firstLine="708"/>
        <w:rPr>
          <w:lang w:val="en-US"/>
        </w:rPr>
      </w:pPr>
      <w:r w:rsidRPr="00130446">
        <w:rPr>
          <w:lang w:val="en-US"/>
        </w:rPr>
        <w:t xml:space="preserve">The Sub-Committee discussed the development of training provisions for seafarers on ships using alternative fuels. It agreed that the work related to this issue should be separate from the work on the comprehensive review of the STCW Convention and Code. </w:t>
      </w:r>
    </w:p>
    <w:p w14:paraId="0DF17556" w14:textId="77777777" w:rsidR="00130446" w:rsidRPr="00130446" w:rsidRDefault="00130446" w:rsidP="00130446">
      <w:pPr>
        <w:pBdr>
          <w:bottom w:val="single" w:sz="2" w:space="1" w:color="A5A5A5" w:themeColor="accent3"/>
        </w:pBdr>
        <w:ind w:firstLine="708"/>
        <w:rPr>
          <w:lang w:val="en-US"/>
        </w:rPr>
      </w:pPr>
      <w:r w:rsidRPr="00130446">
        <w:rPr>
          <w:lang w:val="en-US"/>
        </w:rPr>
        <w:t xml:space="preserve">The Sub-Committee agreed that the existing output of MSC on "Development of a safety regulatory framework to support the reduction of GHG emissions from ships using new technologies and alternative fuels" could be utilized to develop relevant training provisions for seafarers, and invited MSC to include this output in the agenda of the Sub-Committee for discussion at HTW 11.  </w:t>
      </w:r>
    </w:p>
    <w:p w14:paraId="032F219D" w14:textId="77777777" w:rsidR="00130446" w:rsidRPr="00130446" w:rsidRDefault="00130446" w:rsidP="00130446">
      <w:pPr>
        <w:pBdr>
          <w:bottom w:val="single" w:sz="2" w:space="1" w:color="A5A5A5" w:themeColor="accent3"/>
        </w:pBdr>
        <w:ind w:firstLine="708"/>
        <w:rPr>
          <w:lang w:val="en-US"/>
        </w:rPr>
      </w:pPr>
    </w:p>
    <w:p w14:paraId="40E79DEA" w14:textId="6EF55C01" w:rsidR="00130446" w:rsidRPr="008576EA" w:rsidRDefault="00130446" w:rsidP="008576EA">
      <w:pPr>
        <w:pBdr>
          <w:bottom w:val="single" w:sz="2" w:space="1" w:color="A5A5A5" w:themeColor="accent3"/>
        </w:pBdr>
        <w:ind w:firstLine="708"/>
        <w:rPr>
          <w:b/>
          <w:i/>
          <w:lang w:val="en-US"/>
        </w:rPr>
      </w:pPr>
      <w:r w:rsidRPr="008576EA">
        <w:rPr>
          <w:b/>
          <w:i/>
          <w:lang w:val="en-US"/>
        </w:rPr>
        <w:t xml:space="preserve">Recommendations to enhance Polar Code training </w:t>
      </w:r>
    </w:p>
    <w:p w14:paraId="2DB338EC" w14:textId="55D787DA" w:rsidR="00130446" w:rsidRPr="00130446" w:rsidRDefault="00130446" w:rsidP="008576EA">
      <w:pPr>
        <w:pBdr>
          <w:bottom w:val="single" w:sz="2" w:space="1" w:color="A5A5A5" w:themeColor="accent3"/>
        </w:pBdr>
        <w:ind w:firstLine="708"/>
        <w:rPr>
          <w:lang w:val="en-US"/>
        </w:rPr>
      </w:pPr>
      <w:r w:rsidRPr="00130446">
        <w:rPr>
          <w:lang w:val="en-US"/>
        </w:rPr>
        <w:t xml:space="preserve">The Sub-Committee considered a set of recommendations put forward by several Member States, including revisions to the STCW Convention and Code, aimed at enhancing training for seafarers who operate in polar waters. </w:t>
      </w:r>
    </w:p>
    <w:p w14:paraId="1C811BDB" w14:textId="488388D7" w:rsidR="00130446" w:rsidRPr="00130446" w:rsidRDefault="00130446" w:rsidP="008576EA">
      <w:pPr>
        <w:pBdr>
          <w:bottom w:val="single" w:sz="2" w:space="1" w:color="A5A5A5" w:themeColor="accent3"/>
        </w:pBdr>
        <w:ind w:firstLine="708"/>
        <w:rPr>
          <w:lang w:val="en-US"/>
        </w:rPr>
      </w:pPr>
      <w:r w:rsidRPr="00130446">
        <w:rPr>
          <w:lang w:val="en-US"/>
        </w:rPr>
        <w:t xml:space="preserve">The recommendations are based on the findings and experiences gleaned from five regional capacity-building workshops delivered between 2019 and 2022, and a workshop in December 2023 to review lessons learned over the course of this training </w:t>
      </w:r>
      <w:proofErr w:type="spellStart"/>
      <w:r w:rsidRPr="00130446">
        <w:rPr>
          <w:lang w:val="en-US"/>
        </w:rPr>
        <w:t>programme</w:t>
      </w:r>
      <w:proofErr w:type="spellEnd"/>
      <w:r w:rsidRPr="00130446">
        <w:rPr>
          <w:lang w:val="en-US"/>
        </w:rPr>
        <w:t xml:space="preserve">. </w:t>
      </w:r>
    </w:p>
    <w:p w14:paraId="201657A2" w14:textId="77777777" w:rsidR="00130446" w:rsidRPr="00130446" w:rsidRDefault="00130446" w:rsidP="00130446">
      <w:pPr>
        <w:pBdr>
          <w:bottom w:val="single" w:sz="2" w:space="1" w:color="A5A5A5" w:themeColor="accent3"/>
        </w:pBdr>
        <w:ind w:firstLine="708"/>
        <w:rPr>
          <w:lang w:val="en-US"/>
        </w:rPr>
      </w:pPr>
      <w:r w:rsidRPr="00130446">
        <w:rPr>
          <w:lang w:val="en-US"/>
        </w:rPr>
        <w:t xml:space="preserve">The Sub-Committee agreed to include some recommendations as part of the comprehensive review of the STCW Convention and Code and invited MSC to consider some other recommendations for further action as appropriate. </w:t>
      </w:r>
    </w:p>
    <w:p w14:paraId="142CA8BD" w14:textId="77777777" w:rsidR="00130446" w:rsidRPr="00130446" w:rsidRDefault="00130446" w:rsidP="00130446">
      <w:pPr>
        <w:pBdr>
          <w:bottom w:val="single" w:sz="2" w:space="1" w:color="A5A5A5" w:themeColor="accent3"/>
        </w:pBdr>
        <w:ind w:firstLine="708"/>
        <w:rPr>
          <w:lang w:val="en-US"/>
        </w:rPr>
      </w:pPr>
    </w:p>
    <w:p w14:paraId="35FDF182" w14:textId="7925875A" w:rsidR="00130446" w:rsidRPr="008576EA" w:rsidRDefault="00130446" w:rsidP="008576EA">
      <w:pPr>
        <w:pBdr>
          <w:bottom w:val="single" w:sz="2" w:space="1" w:color="A5A5A5" w:themeColor="accent3"/>
        </w:pBdr>
        <w:ind w:firstLine="708"/>
        <w:rPr>
          <w:b/>
          <w:i/>
          <w:lang w:val="en-US"/>
        </w:rPr>
      </w:pPr>
      <w:r w:rsidRPr="008576EA">
        <w:rPr>
          <w:b/>
          <w:i/>
          <w:lang w:val="en-US"/>
        </w:rPr>
        <w:t xml:space="preserve">New GISIS module on STCW </w:t>
      </w:r>
    </w:p>
    <w:p w14:paraId="7208E8D8" w14:textId="382CADDC" w:rsidR="00130446" w:rsidRDefault="00130446" w:rsidP="008576EA">
      <w:pPr>
        <w:pBdr>
          <w:bottom w:val="single" w:sz="2" w:space="1" w:color="A5A5A5" w:themeColor="accent3"/>
        </w:pBdr>
        <w:ind w:firstLine="708"/>
        <w:rPr>
          <w:lang w:val="en-US"/>
        </w:rPr>
      </w:pPr>
      <w:r w:rsidRPr="00130446">
        <w:rPr>
          <w:lang w:val="en-US"/>
        </w:rPr>
        <w:t xml:space="preserve">The Sub-Committee agreed to launch a new module on the Global Integrated Shipping Information System (GISIS) to support Parties in carrying out their obligations under the STCW Convention. The module will enhance communication and information sharing, while also helping to address fraudulent practices and alleviate the administrative burden. </w:t>
      </w:r>
    </w:p>
    <w:p w14:paraId="2C905BE8" w14:textId="77777777" w:rsidR="00267C5C" w:rsidRPr="00267C5C" w:rsidRDefault="00267C5C" w:rsidP="00267C5C">
      <w:pPr>
        <w:pBdr>
          <w:bottom w:val="single" w:sz="2" w:space="1" w:color="A5A5A5" w:themeColor="accent3"/>
        </w:pBdr>
        <w:ind w:firstLine="708"/>
        <w:rPr>
          <w:lang w:val="en-US"/>
        </w:rPr>
      </w:pPr>
      <w:r w:rsidRPr="00267C5C">
        <w:rPr>
          <w:lang w:val="en-US"/>
        </w:rPr>
        <w:t>The expected functionality of the module includes:</w:t>
      </w:r>
    </w:p>
    <w:p w14:paraId="39229658" w14:textId="42D04463" w:rsidR="00267C5C" w:rsidRPr="00267C5C" w:rsidRDefault="00267C5C" w:rsidP="00267C5C">
      <w:pPr>
        <w:pBdr>
          <w:bottom w:val="single" w:sz="2" w:space="1" w:color="A5A5A5" w:themeColor="accent3"/>
        </w:pBdr>
        <w:ind w:firstLine="708"/>
        <w:rPr>
          <w:lang w:val="en-US"/>
        </w:rPr>
      </w:pPr>
      <w:r>
        <w:rPr>
          <w:lang w:val="en-US"/>
        </w:rPr>
        <w:t>-</w:t>
      </w:r>
      <w:r w:rsidRPr="00267C5C">
        <w:rPr>
          <w:lang w:val="en-US"/>
        </w:rPr>
        <w:t xml:space="preserve"> STCW focal points;</w:t>
      </w:r>
    </w:p>
    <w:p w14:paraId="7EEE773F" w14:textId="353C54F2" w:rsidR="00267C5C" w:rsidRPr="00267C5C" w:rsidRDefault="00267C5C" w:rsidP="00267C5C">
      <w:pPr>
        <w:pBdr>
          <w:bottom w:val="single" w:sz="2" w:space="1" w:color="A5A5A5" w:themeColor="accent3"/>
        </w:pBdr>
        <w:ind w:firstLine="708"/>
        <w:rPr>
          <w:lang w:val="en-US"/>
        </w:rPr>
      </w:pPr>
      <w:r>
        <w:rPr>
          <w:lang w:val="en-US"/>
        </w:rPr>
        <w:t xml:space="preserve">- </w:t>
      </w:r>
      <w:r w:rsidRPr="00267C5C">
        <w:rPr>
          <w:lang w:val="en-US"/>
        </w:rPr>
        <w:t xml:space="preserve">Initial </w:t>
      </w:r>
      <w:r w:rsidRPr="00267C5C">
        <w:rPr>
          <w:lang w:val="en-US"/>
        </w:rPr>
        <w:t>communication of information (articles IV(1) and VIII(3); and section A-I/7, paragraph 2);</w:t>
      </w:r>
    </w:p>
    <w:p w14:paraId="1D619E74" w14:textId="4A87025F" w:rsidR="00267C5C" w:rsidRPr="00267C5C" w:rsidRDefault="00267C5C" w:rsidP="00267C5C">
      <w:pPr>
        <w:pBdr>
          <w:bottom w:val="single" w:sz="2" w:space="1" w:color="A5A5A5" w:themeColor="accent3"/>
        </w:pBdr>
        <w:ind w:firstLine="708"/>
        <w:rPr>
          <w:lang w:val="en-US"/>
        </w:rPr>
      </w:pPr>
      <w:r>
        <w:rPr>
          <w:lang w:val="en-US"/>
        </w:rPr>
        <w:t xml:space="preserve">- </w:t>
      </w:r>
      <w:r w:rsidRPr="00267C5C">
        <w:rPr>
          <w:lang w:val="en-US"/>
        </w:rPr>
        <w:t xml:space="preserve">Subsequent </w:t>
      </w:r>
      <w:r w:rsidRPr="00267C5C">
        <w:rPr>
          <w:lang w:val="en-US"/>
        </w:rPr>
        <w:t>reports (article IX(2) and section A-I/7, paragraphs 3 to 6);</w:t>
      </w:r>
    </w:p>
    <w:p w14:paraId="75AE3DB3" w14:textId="4FE8596C" w:rsidR="00267C5C" w:rsidRPr="00267C5C" w:rsidRDefault="00267C5C" w:rsidP="00267C5C">
      <w:pPr>
        <w:pBdr>
          <w:bottom w:val="single" w:sz="2" w:space="1" w:color="A5A5A5" w:themeColor="accent3"/>
        </w:pBdr>
        <w:ind w:firstLine="708"/>
        <w:rPr>
          <w:lang w:val="en-US"/>
        </w:rPr>
      </w:pPr>
      <w:r>
        <w:rPr>
          <w:lang w:val="en-US"/>
        </w:rPr>
        <w:t>-</w:t>
      </w:r>
      <w:r w:rsidRPr="00267C5C">
        <w:rPr>
          <w:lang w:val="en-US"/>
        </w:rPr>
        <w:t xml:space="preserve"> </w:t>
      </w:r>
      <w:r w:rsidRPr="00267C5C">
        <w:rPr>
          <w:lang w:val="en-US"/>
        </w:rPr>
        <w:t xml:space="preserve">List </w:t>
      </w:r>
      <w:r w:rsidRPr="00267C5C">
        <w:rPr>
          <w:lang w:val="en-US"/>
        </w:rPr>
        <w:t>of competent persons (section A-I/7, paragraph 7, MSC.1/Circ.797 series and Circular Letter</w:t>
      </w:r>
      <w:r>
        <w:rPr>
          <w:lang w:val="en-US"/>
        </w:rPr>
        <w:t xml:space="preserve"> </w:t>
      </w:r>
      <w:r w:rsidRPr="00267C5C">
        <w:rPr>
          <w:lang w:val="en-US"/>
        </w:rPr>
        <w:t>No.1882);</w:t>
      </w:r>
    </w:p>
    <w:p w14:paraId="3881F50A" w14:textId="15A64E8C" w:rsidR="00267C5C" w:rsidRPr="00267C5C" w:rsidRDefault="00267C5C" w:rsidP="00267C5C">
      <w:pPr>
        <w:pBdr>
          <w:bottom w:val="single" w:sz="2" w:space="1" w:color="A5A5A5" w:themeColor="accent3"/>
        </w:pBdr>
        <w:ind w:firstLine="708"/>
        <w:rPr>
          <w:lang w:val="en-US"/>
        </w:rPr>
      </w:pPr>
      <w:r>
        <w:rPr>
          <w:lang w:val="en-US"/>
        </w:rPr>
        <w:t>-</w:t>
      </w:r>
      <w:r w:rsidRPr="00267C5C">
        <w:rPr>
          <w:lang w:val="en-US"/>
        </w:rPr>
        <w:t xml:space="preserve"> </w:t>
      </w:r>
      <w:r w:rsidRPr="00267C5C">
        <w:rPr>
          <w:lang w:val="en-US"/>
        </w:rPr>
        <w:t xml:space="preserve">Dispensations </w:t>
      </w:r>
      <w:r w:rsidRPr="00267C5C">
        <w:rPr>
          <w:lang w:val="en-US"/>
        </w:rPr>
        <w:t>(article VIII(3));</w:t>
      </w:r>
    </w:p>
    <w:p w14:paraId="6CA24198" w14:textId="287D2FA5" w:rsidR="00267C5C" w:rsidRPr="00267C5C" w:rsidRDefault="00267C5C" w:rsidP="00267C5C">
      <w:pPr>
        <w:pBdr>
          <w:bottom w:val="single" w:sz="2" w:space="1" w:color="A5A5A5" w:themeColor="accent3"/>
        </w:pBdr>
        <w:ind w:firstLine="708"/>
        <w:rPr>
          <w:lang w:val="en-US"/>
        </w:rPr>
      </w:pPr>
      <w:r>
        <w:rPr>
          <w:lang w:val="en-US"/>
        </w:rPr>
        <w:t>-</w:t>
      </w:r>
      <w:r w:rsidRPr="00267C5C">
        <w:rPr>
          <w:lang w:val="en-US"/>
        </w:rPr>
        <w:t xml:space="preserve"> </w:t>
      </w:r>
      <w:r w:rsidRPr="00267C5C">
        <w:rPr>
          <w:lang w:val="en-US"/>
        </w:rPr>
        <w:t xml:space="preserve">Fraudulent </w:t>
      </w:r>
      <w:r w:rsidRPr="00267C5C">
        <w:rPr>
          <w:lang w:val="en-US"/>
        </w:rPr>
        <w:t>certificates; and</w:t>
      </w:r>
    </w:p>
    <w:p w14:paraId="2516ABF6" w14:textId="29F4DBDF" w:rsidR="00267C5C" w:rsidRPr="00130446" w:rsidRDefault="00267C5C" w:rsidP="00267C5C">
      <w:pPr>
        <w:pBdr>
          <w:bottom w:val="single" w:sz="2" w:space="1" w:color="A5A5A5" w:themeColor="accent3"/>
        </w:pBdr>
        <w:ind w:firstLine="708"/>
        <w:rPr>
          <w:lang w:val="en-US"/>
        </w:rPr>
      </w:pPr>
      <w:r>
        <w:rPr>
          <w:lang w:val="en-US"/>
        </w:rPr>
        <w:t>-</w:t>
      </w:r>
      <w:r w:rsidRPr="00267C5C">
        <w:rPr>
          <w:lang w:val="en-US"/>
        </w:rPr>
        <w:t xml:space="preserve"> </w:t>
      </w:r>
      <w:r w:rsidRPr="00267C5C">
        <w:rPr>
          <w:lang w:val="en-US"/>
        </w:rPr>
        <w:t xml:space="preserve">Simulators </w:t>
      </w:r>
      <w:r w:rsidRPr="00267C5C">
        <w:rPr>
          <w:lang w:val="en-US"/>
        </w:rPr>
        <w:t>(regulation I/12)</w:t>
      </w:r>
      <w:r>
        <w:rPr>
          <w:lang w:val="en-US"/>
        </w:rPr>
        <w:t>.</w:t>
      </w:r>
      <w:bookmarkStart w:id="0" w:name="_GoBack"/>
      <w:bookmarkEnd w:id="0"/>
    </w:p>
    <w:p w14:paraId="68244587" w14:textId="70130062" w:rsidR="00130446" w:rsidRPr="00130446" w:rsidRDefault="00130446" w:rsidP="008576EA">
      <w:pPr>
        <w:pBdr>
          <w:bottom w:val="single" w:sz="2" w:space="1" w:color="A5A5A5" w:themeColor="accent3"/>
        </w:pBdr>
        <w:ind w:firstLine="708"/>
        <w:rPr>
          <w:lang w:val="en-US"/>
        </w:rPr>
      </w:pPr>
      <w:r w:rsidRPr="00130446">
        <w:rPr>
          <w:lang w:val="en-US"/>
        </w:rPr>
        <w:t xml:space="preserve">The new GISIS module will have a trial period of two years and the experience gained during this trial period is expected to be reported to a future session of the Sub-Committee, with a view to providing relevant input to the comprehensive review of the STCW Convention and Code, in particular with regard to the enhancement of the communication of information provisions.  </w:t>
      </w:r>
    </w:p>
    <w:p w14:paraId="528C2C40" w14:textId="77777777" w:rsidR="00130446" w:rsidRPr="00130446" w:rsidRDefault="00130446" w:rsidP="00130446">
      <w:pPr>
        <w:pBdr>
          <w:bottom w:val="single" w:sz="2" w:space="1" w:color="A5A5A5" w:themeColor="accent3"/>
        </w:pBdr>
        <w:ind w:firstLine="708"/>
        <w:rPr>
          <w:lang w:val="en-US"/>
        </w:rPr>
      </w:pPr>
      <w:r w:rsidRPr="00130446">
        <w:rPr>
          <w:lang w:val="en-US"/>
        </w:rPr>
        <w:t xml:space="preserve">The Sub-Committee encouraged STCW Parties to use the new module and to provide the necessary information for its correct and reliable operation. </w:t>
      </w:r>
    </w:p>
    <w:p w14:paraId="668A75C7" w14:textId="77777777" w:rsidR="00130446" w:rsidRPr="00130446" w:rsidRDefault="00130446" w:rsidP="00130446">
      <w:pPr>
        <w:pBdr>
          <w:bottom w:val="single" w:sz="2" w:space="1" w:color="A5A5A5" w:themeColor="accent3"/>
        </w:pBdr>
        <w:ind w:firstLine="708"/>
        <w:rPr>
          <w:lang w:val="en-US"/>
        </w:rPr>
      </w:pPr>
    </w:p>
    <w:p w14:paraId="5A1F2A40" w14:textId="2402A17F" w:rsidR="00130446" w:rsidRPr="008576EA" w:rsidRDefault="00130446" w:rsidP="008576EA">
      <w:pPr>
        <w:pBdr>
          <w:bottom w:val="single" w:sz="2" w:space="1" w:color="A5A5A5" w:themeColor="accent3"/>
        </w:pBdr>
        <w:ind w:firstLine="708"/>
        <w:rPr>
          <w:b/>
          <w:i/>
          <w:lang w:val="en-US"/>
        </w:rPr>
      </w:pPr>
      <w:r w:rsidRPr="008576EA">
        <w:rPr>
          <w:b/>
          <w:i/>
          <w:lang w:val="en-US"/>
        </w:rPr>
        <w:t xml:space="preserve">Fraudulent Certificates </w:t>
      </w:r>
    </w:p>
    <w:p w14:paraId="607D3647" w14:textId="13FA3C36" w:rsidR="00130446" w:rsidRPr="00130446" w:rsidRDefault="00130446" w:rsidP="008576EA">
      <w:pPr>
        <w:pBdr>
          <w:bottom w:val="single" w:sz="2" w:space="1" w:color="A5A5A5" w:themeColor="accent3"/>
        </w:pBdr>
        <w:ind w:firstLine="708"/>
        <w:rPr>
          <w:lang w:val="en-US"/>
        </w:rPr>
      </w:pPr>
      <w:r w:rsidRPr="00130446">
        <w:rPr>
          <w:lang w:val="en-US"/>
        </w:rPr>
        <w:t xml:space="preserve">The Sub-Committee noted information received by the Secretariat on reports concerning fraudulent certificates of competency and endorsements detected in 2022 and 2023. The Sub-Committee noted that the issue of fraudulent endorsements amongst shipping personnel was a serious problem that affected the safety of seafarers and ships.  </w:t>
      </w:r>
    </w:p>
    <w:p w14:paraId="3E982885" w14:textId="77777777" w:rsidR="00130446" w:rsidRPr="00130446" w:rsidRDefault="00130446" w:rsidP="00130446">
      <w:pPr>
        <w:pBdr>
          <w:bottom w:val="single" w:sz="2" w:space="1" w:color="A5A5A5" w:themeColor="accent3"/>
        </w:pBdr>
        <w:ind w:firstLine="708"/>
        <w:rPr>
          <w:lang w:val="en-US"/>
        </w:rPr>
      </w:pPr>
      <w:r w:rsidRPr="00130446">
        <w:rPr>
          <w:lang w:val="en-US"/>
        </w:rPr>
        <w:t>The Sub-Committee underscored the importance of having appropriate Certificate of Competency (</w:t>
      </w:r>
      <w:proofErr w:type="spellStart"/>
      <w:r w:rsidRPr="00130446">
        <w:rPr>
          <w:lang w:val="en-US"/>
        </w:rPr>
        <w:t>CoC</w:t>
      </w:r>
      <w:proofErr w:type="spellEnd"/>
      <w:r w:rsidRPr="00130446">
        <w:rPr>
          <w:lang w:val="en-US"/>
        </w:rPr>
        <w:t xml:space="preserve">) endorsements in accordance with regulation I/10 of the STCW Convention and encouraged STCW Parties to take a broader range of actions to tackle the problem, noting that the new STCW GISIS module would consolidate the information on Parties the certificates of which were recognized in compliance with regulation I/10 and the "Certificate Verification facility", with a view to allowing Parties to manage and update relevant information. </w:t>
      </w:r>
    </w:p>
    <w:p w14:paraId="6E575147" w14:textId="77777777" w:rsidR="00130446" w:rsidRPr="00130446" w:rsidRDefault="00130446" w:rsidP="00130446">
      <w:pPr>
        <w:pBdr>
          <w:bottom w:val="single" w:sz="2" w:space="1" w:color="A5A5A5" w:themeColor="accent3"/>
        </w:pBdr>
        <w:ind w:firstLine="708"/>
        <w:rPr>
          <w:lang w:val="en-US"/>
        </w:rPr>
      </w:pPr>
    </w:p>
    <w:p w14:paraId="7A8838B6" w14:textId="01E4AA81" w:rsidR="00130446" w:rsidRPr="00267C5C" w:rsidRDefault="00130446" w:rsidP="008576EA">
      <w:pPr>
        <w:pBdr>
          <w:bottom w:val="single" w:sz="2" w:space="1" w:color="A5A5A5" w:themeColor="accent3"/>
        </w:pBdr>
        <w:ind w:firstLine="708"/>
        <w:rPr>
          <w:b/>
          <w:i/>
          <w:lang w:val="en-US"/>
        </w:rPr>
      </w:pPr>
      <w:r w:rsidRPr="00267C5C">
        <w:rPr>
          <w:b/>
          <w:i/>
          <w:lang w:val="en-US"/>
        </w:rPr>
        <w:t xml:space="preserve">Validation of Model Courses </w:t>
      </w:r>
    </w:p>
    <w:p w14:paraId="018FDFC9" w14:textId="3C6DC3E5" w:rsidR="00130446" w:rsidRPr="00130446" w:rsidRDefault="00130446" w:rsidP="008576EA">
      <w:pPr>
        <w:pBdr>
          <w:bottom w:val="single" w:sz="2" w:space="1" w:color="A5A5A5" w:themeColor="accent3"/>
        </w:pBdr>
        <w:ind w:firstLine="708"/>
        <w:rPr>
          <w:lang w:val="en-US"/>
        </w:rPr>
      </w:pPr>
      <w:r w:rsidRPr="00130446">
        <w:rPr>
          <w:lang w:val="en-US"/>
        </w:rPr>
        <w:t xml:space="preserve">The Sub-Committee validated the following Model Courses: </w:t>
      </w:r>
    </w:p>
    <w:p w14:paraId="0788C5D7" w14:textId="1983A095" w:rsidR="00130446" w:rsidRPr="00130446" w:rsidRDefault="008576EA" w:rsidP="00130446">
      <w:pPr>
        <w:pBdr>
          <w:bottom w:val="single" w:sz="2" w:space="1" w:color="A5A5A5" w:themeColor="accent3"/>
        </w:pBdr>
        <w:ind w:firstLine="708"/>
        <w:rPr>
          <w:lang w:val="en-US"/>
        </w:rPr>
      </w:pPr>
      <w:r>
        <w:rPr>
          <w:lang w:val="en-US"/>
        </w:rPr>
        <w:t xml:space="preserve">- </w:t>
      </w:r>
      <w:r w:rsidR="00130446" w:rsidRPr="00130446">
        <w:rPr>
          <w:lang w:val="en-US"/>
        </w:rPr>
        <w:t>Model Course 1.32 on Operational Use of Integrated Bridge Systems Including Integrated Navigational Systems</w:t>
      </w:r>
      <w:r>
        <w:rPr>
          <w:lang w:val="en-US"/>
        </w:rPr>
        <w:t>;</w:t>
      </w:r>
      <w:r w:rsidR="00130446" w:rsidRPr="00130446">
        <w:rPr>
          <w:lang w:val="en-US"/>
        </w:rPr>
        <w:t xml:space="preserve"> </w:t>
      </w:r>
    </w:p>
    <w:p w14:paraId="251A75D7" w14:textId="60B4B891" w:rsidR="00130446" w:rsidRPr="00130446" w:rsidRDefault="008576EA" w:rsidP="00130446">
      <w:pPr>
        <w:pBdr>
          <w:bottom w:val="single" w:sz="2" w:space="1" w:color="A5A5A5" w:themeColor="accent3"/>
        </w:pBdr>
        <w:ind w:firstLine="708"/>
        <w:rPr>
          <w:lang w:val="en-US"/>
        </w:rPr>
      </w:pPr>
      <w:r>
        <w:rPr>
          <w:lang w:val="en-US"/>
        </w:rPr>
        <w:t xml:space="preserve">- </w:t>
      </w:r>
      <w:r w:rsidR="00130446" w:rsidRPr="00130446">
        <w:rPr>
          <w:lang w:val="en-US"/>
        </w:rPr>
        <w:t>Model Course 1.35 on Liquefied Petroleum Gas (LPG) Tanker Cargo and Ballast Handling Simulator</w:t>
      </w:r>
      <w:r>
        <w:rPr>
          <w:lang w:val="en-US"/>
        </w:rPr>
        <w:t>;</w:t>
      </w:r>
      <w:r w:rsidR="00130446" w:rsidRPr="00130446">
        <w:rPr>
          <w:lang w:val="en-US"/>
        </w:rPr>
        <w:t xml:space="preserve"> </w:t>
      </w:r>
    </w:p>
    <w:p w14:paraId="25808111" w14:textId="77777777" w:rsidR="008576EA" w:rsidRDefault="00130446" w:rsidP="008576EA">
      <w:pPr>
        <w:pBdr>
          <w:bottom w:val="single" w:sz="2" w:space="1" w:color="A5A5A5" w:themeColor="accent3"/>
        </w:pBdr>
        <w:ind w:firstLine="708"/>
        <w:rPr>
          <w:lang w:val="en-US"/>
        </w:rPr>
      </w:pPr>
      <w:r w:rsidRPr="00130446">
        <w:rPr>
          <w:lang w:val="en-US"/>
        </w:rPr>
        <w:t xml:space="preserve">The Sub-Committee approved the draft terms of reference for the revision of the following model courses: </w:t>
      </w:r>
    </w:p>
    <w:p w14:paraId="62395E7B" w14:textId="2DE19105" w:rsidR="00130446" w:rsidRPr="00130446" w:rsidRDefault="008576EA" w:rsidP="008576EA">
      <w:pPr>
        <w:pBdr>
          <w:bottom w:val="single" w:sz="2" w:space="1" w:color="A5A5A5" w:themeColor="accent3"/>
        </w:pBdr>
        <w:ind w:firstLine="708"/>
        <w:rPr>
          <w:lang w:val="en-US"/>
        </w:rPr>
      </w:pPr>
      <w:r>
        <w:rPr>
          <w:lang w:val="en-US"/>
        </w:rPr>
        <w:t xml:space="preserve">- </w:t>
      </w:r>
      <w:r w:rsidR="00130446" w:rsidRPr="00130446">
        <w:rPr>
          <w:lang w:val="en-US"/>
        </w:rPr>
        <w:t>Model Course 1.37 on Chemical tanker cargo and ballast handling simulator</w:t>
      </w:r>
      <w:r>
        <w:rPr>
          <w:lang w:val="en-US"/>
        </w:rPr>
        <w:t>;</w:t>
      </w:r>
      <w:r w:rsidR="00130446" w:rsidRPr="00130446">
        <w:rPr>
          <w:lang w:val="en-US"/>
        </w:rPr>
        <w:t xml:space="preserve">  </w:t>
      </w:r>
    </w:p>
    <w:p w14:paraId="41ED2E62" w14:textId="3BBA964F" w:rsidR="00EC1232" w:rsidRPr="00130446" w:rsidRDefault="008576EA" w:rsidP="00130446">
      <w:pPr>
        <w:pBdr>
          <w:bottom w:val="single" w:sz="2" w:space="1" w:color="A5A5A5" w:themeColor="accent3"/>
        </w:pBdr>
        <w:ind w:firstLine="708"/>
        <w:rPr>
          <w:lang w:val="en-US"/>
        </w:rPr>
      </w:pPr>
      <w:r>
        <w:rPr>
          <w:lang w:val="en-US"/>
        </w:rPr>
        <w:t xml:space="preserve">- </w:t>
      </w:r>
      <w:r w:rsidR="00130446" w:rsidRPr="00130446">
        <w:rPr>
          <w:lang w:val="en-US"/>
        </w:rPr>
        <w:t>Model Course 2.06 on Oil tanker cargo and ballast handling simulator</w:t>
      </w:r>
    </w:p>
    <w:p w14:paraId="633CAAFE" w14:textId="77777777" w:rsidR="008C1E62" w:rsidRDefault="008C1E62" w:rsidP="008C1E62">
      <w:pPr>
        <w:pBdr>
          <w:bottom w:val="single" w:sz="2" w:space="1" w:color="A5A5A5" w:themeColor="accent3"/>
        </w:pBdr>
        <w:ind w:firstLine="708"/>
        <w:rPr>
          <w:lang w:val="en-US"/>
        </w:rPr>
      </w:pPr>
    </w:p>
    <w:p w14:paraId="36686EDC" w14:textId="77777777" w:rsidR="003634A1" w:rsidRDefault="003634A1" w:rsidP="00DA6A3F">
      <w:pPr>
        <w:rPr>
          <w:color w:val="7B7B7B" w:themeColor="accent3" w:themeShade="BF"/>
          <w:sz w:val="16"/>
          <w:szCs w:val="16"/>
          <w:lang w:val="en-US"/>
        </w:rPr>
      </w:pPr>
      <w:r w:rsidRPr="003634A1">
        <w:rPr>
          <w:color w:val="7B7B7B" w:themeColor="accent3" w:themeShade="BF"/>
          <w:sz w:val="16"/>
          <w:szCs w:val="16"/>
          <w:lang w:val="en-US"/>
        </w:rPr>
        <w:t>This document has been prepared by the Russian Maritime Register of Shipping for reference purposes and contains a summary of the main results of the meeting of the IMO working body. For reference purposes, the document reflects background information on the outcomes of discussions and decisions taken during IMO meetings. Similar information about other IMO meetings is available on the RS website.</w:t>
      </w:r>
    </w:p>
    <w:p w14:paraId="5F71B3D4" w14:textId="77777777" w:rsidR="00F61D93" w:rsidRPr="003634A1" w:rsidRDefault="003634A1" w:rsidP="00DA6A3F">
      <w:pPr>
        <w:rPr>
          <w:color w:val="7B7B7B" w:themeColor="accent3" w:themeShade="BF"/>
          <w:sz w:val="16"/>
          <w:szCs w:val="16"/>
          <w:lang w:val="en-US"/>
        </w:rPr>
      </w:pPr>
      <w:r w:rsidRPr="003634A1">
        <w:rPr>
          <w:color w:val="7B7B7B" w:themeColor="accent3" w:themeShade="BF"/>
          <w:sz w:val="16"/>
          <w:szCs w:val="16"/>
          <w:lang w:val="en-US"/>
        </w:rPr>
        <w:lastRenderedPageBreak/>
        <w:t>If you have any questions, please contact</w:t>
      </w:r>
      <w:r>
        <w:rPr>
          <w:color w:val="7B7B7B" w:themeColor="accent3" w:themeShade="BF"/>
          <w:sz w:val="16"/>
          <w:szCs w:val="16"/>
          <w:lang w:val="en-US"/>
        </w:rPr>
        <w:t xml:space="preserve"> RS </w:t>
      </w:r>
      <w:r w:rsidRPr="003634A1">
        <w:rPr>
          <w:color w:val="7B7B7B" w:themeColor="accent3" w:themeShade="BF"/>
          <w:sz w:val="16"/>
          <w:szCs w:val="16"/>
          <w:lang w:val="en-US"/>
        </w:rPr>
        <w:t>International Affairs Department</w:t>
      </w:r>
      <w:r w:rsidR="00DA6A3F" w:rsidRPr="003634A1">
        <w:rPr>
          <w:color w:val="7B7B7B" w:themeColor="accent3" w:themeShade="BF"/>
          <w:sz w:val="16"/>
          <w:szCs w:val="16"/>
          <w:lang w:val="en-US"/>
        </w:rPr>
        <w:t xml:space="preserve">: </w:t>
      </w:r>
      <w:hyperlink r:id="rId7" w:history="1">
        <w:r w:rsidR="00DA6A3F" w:rsidRPr="003634A1">
          <w:rPr>
            <w:rStyle w:val="aa"/>
            <w:color w:val="7B7B7B" w:themeColor="accent3" w:themeShade="BF"/>
            <w:sz w:val="16"/>
            <w:szCs w:val="16"/>
            <w:lang w:val="en-US"/>
          </w:rPr>
          <w:t>https://rs-class.org/ru/register/contacts/</w:t>
        </w:r>
      </w:hyperlink>
    </w:p>
    <w:sectPr w:rsidR="00F61D93" w:rsidRPr="003634A1" w:rsidSect="001145E0">
      <w:headerReference w:type="default" r:id="rId8"/>
      <w:footerReference w:type="default" r:id="rId9"/>
      <w:pgSz w:w="11906" w:h="16838"/>
      <w:pgMar w:top="1418" w:right="851" w:bottom="1134" w:left="85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2563" w14:textId="77777777" w:rsidR="00A731A6" w:rsidRDefault="00A731A6" w:rsidP="001000DB">
      <w:r>
        <w:separator/>
      </w:r>
    </w:p>
  </w:endnote>
  <w:endnote w:type="continuationSeparator" w:id="0">
    <w:p w14:paraId="252420B1" w14:textId="77777777" w:rsidR="00A731A6" w:rsidRDefault="00A731A6" w:rsidP="0010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5A5A5" w:themeColor="accent3"/>
      </w:rPr>
      <w:id w:val="265971585"/>
      <w:docPartObj>
        <w:docPartGallery w:val="Page Numbers (Bottom of Page)"/>
        <w:docPartUnique/>
      </w:docPartObj>
    </w:sdtPr>
    <w:sdtEndPr/>
    <w:sdtContent>
      <w:p w14:paraId="07F09B18" w14:textId="7AFD6A6B" w:rsidR="00970A36" w:rsidRPr="0074652B" w:rsidRDefault="00970A36" w:rsidP="00ED5DF7">
        <w:pPr>
          <w:pStyle w:val="a8"/>
          <w:pBdr>
            <w:top w:val="single" w:sz="4" w:space="1" w:color="A5A5A5" w:themeColor="accent3"/>
          </w:pBdr>
          <w:tabs>
            <w:tab w:val="right" w:pos="10206"/>
          </w:tabs>
          <w:ind w:right="-2"/>
          <w:rPr>
            <w:color w:val="A5A5A5" w:themeColor="accent3"/>
            <w:lang w:val="en-US"/>
          </w:rPr>
        </w:pPr>
        <w:r w:rsidRPr="0074652B">
          <w:rPr>
            <w:color w:val="A5A5A5" w:themeColor="accent3"/>
            <w:lang w:val="en-US"/>
          </w:rPr>
          <w:t xml:space="preserve">Summary report on the </w:t>
        </w:r>
        <w:r w:rsidR="00CD7E7C" w:rsidRPr="00CD7E7C">
          <w:rPr>
            <w:color w:val="A5A5A5" w:themeColor="accent3"/>
            <w:lang w:val="en-US"/>
          </w:rPr>
          <w:t xml:space="preserve">10th session of the Sub-Committee </w:t>
        </w:r>
        <w:r w:rsidR="00D82162" w:rsidRPr="00D82162">
          <w:rPr>
            <w:color w:val="A5A5A5" w:themeColor="accent3"/>
            <w:lang w:val="en-US"/>
          </w:rPr>
          <w:t>on Human Element, Training and Watchkeeping (HTW 10, 5-9 February 2024</w:t>
        </w:r>
        <w:r w:rsidR="00CD7E7C" w:rsidRPr="00CD7E7C">
          <w:rPr>
            <w:color w:val="A5A5A5" w:themeColor="accent3"/>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7634" w14:textId="77777777" w:rsidR="00A731A6" w:rsidRDefault="00A731A6" w:rsidP="001000DB">
      <w:r>
        <w:separator/>
      </w:r>
    </w:p>
  </w:footnote>
  <w:footnote w:type="continuationSeparator" w:id="0">
    <w:p w14:paraId="08A5E628" w14:textId="77777777" w:rsidR="00A731A6" w:rsidRDefault="00A731A6" w:rsidP="0010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D763" w14:textId="769E7F50" w:rsidR="00970A36" w:rsidRPr="00EB7A2C" w:rsidRDefault="00970A36" w:rsidP="002D1BF1">
    <w:pPr>
      <w:pStyle w:val="a3"/>
      <w:jc w:val="right"/>
      <w:rPr>
        <w:sz w:val="18"/>
        <w:lang w:val="en-US" w:eastAsia="ru-RU" w:bidi="ar-SA"/>
      </w:rPr>
    </w:pPr>
    <w:r w:rsidRPr="001145E0">
      <w:rPr>
        <w:noProof/>
        <w:color w:val="A5A5A5" w:themeColor="accent3"/>
        <w:sz w:val="18"/>
        <w:lang w:eastAsia="ru-RU" w:bidi="ar-SA"/>
      </w:rPr>
      <w:drawing>
        <wp:anchor distT="0" distB="0" distL="114300" distR="114300" simplePos="0" relativeHeight="251661312" behindDoc="0" locked="0" layoutInCell="1" allowOverlap="1" wp14:anchorId="58CE1A6E" wp14:editId="75D8CC4B">
          <wp:simplePos x="0" y="0"/>
          <wp:positionH relativeFrom="column">
            <wp:posOffset>107315</wp:posOffset>
          </wp:positionH>
          <wp:positionV relativeFrom="paragraph">
            <wp:posOffset>-361315</wp:posOffset>
          </wp:positionV>
          <wp:extent cx="609600" cy="593745"/>
          <wp:effectExtent l="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F25">
      <w:rPr>
        <w:color w:val="A5A5A5" w:themeColor="accent3"/>
        <w:sz w:val="18"/>
        <w:lang w:val="en-US"/>
      </w:rPr>
      <w:t>20</w:t>
    </w:r>
    <w:r w:rsidRPr="001145E0">
      <w:rPr>
        <w:color w:val="A5A5A5" w:themeColor="accent3"/>
        <w:sz w:val="18"/>
      </w:rPr>
      <w:t>.</w:t>
    </w:r>
    <w:r w:rsidR="00997BCE">
      <w:rPr>
        <w:color w:val="A5A5A5" w:themeColor="accent3"/>
        <w:sz w:val="18"/>
        <w:lang w:val="en-US"/>
      </w:rPr>
      <w:t>0</w:t>
    </w:r>
    <w:r w:rsidR="00A47F25">
      <w:rPr>
        <w:color w:val="A5A5A5" w:themeColor="accent3"/>
        <w:sz w:val="18"/>
        <w:lang w:val="en-US"/>
      </w:rPr>
      <w:t>2</w:t>
    </w:r>
    <w:r w:rsidRPr="001145E0">
      <w:rPr>
        <w:color w:val="A5A5A5" w:themeColor="accent3"/>
        <w:sz w:val="18"/>
      </w:rPr>
      <w:t>.202</w:t>
    </w:r>
    <w:r w:rsidRPr="001145E0">
      <w:rPr>
        <w:noProof/>
        <w:sz w:val="18"/>
        <w:lang w:eastAsia="ru-RU" w:bidi="ar-SA"/>
      </w:rPr>
      <w:drawing>
        <wp:anchor distT="0" distB="0" distL="114300" distR="114300" simplePos="0" relativeHeight="251659264" behindDoc="1" locked="1" layoutInCell="1" allowOverlap="1" wp14:anchorId="19224D63" wp14:editId="53FF976B">
          <wp:simplePos x="0" y="0"/>
          <wp:positionH relativeFrom="page">
            <wp:posOffset>990600</wp:posOffset>
          </wp:positionH>
          <wp:positionV relativeFrom="page">
            <wp:posOffset>25400</wp:posOffset>
          </wp:positionV>
          <wp:extent cx="5803900" cy="578485"/>
          <wp:effectExtent l="0" t="0" r="6350" b="0"/>
          <wp:wrapNone/>
          <wp:docPr id="12" name="Рисунок 12" descr="RS-Letterhead_A4-Universal-Colour-RU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Letterhead_A4-Universal-Colour-RUS-v2"/>
                  <pic:cNvPicPr>
                    <a:picLocks noChangeAspect="1" noChangeArrowheads="1"/>
                  </pic:cNvPicPr>
                </pic:nvPicPr>
                <pic:blipFill rotWithShape="1">
                  <a:blip r:embed="rId2">
                    <a:extLst>
                      <a:ext uri="{28A0092B-C50C-407E-A947-70E740481C1C}">
                        <a14:useLocalDpi xmlns:a14="http://schemas.microsoft.com/office/drawing/2010/main" val="0"/>
                      </a:ext>
                    </a:extLst>
                  </a:blip>
                  <a:srcRect l="7425" t="2422" r="5616" b="91455"/>
                  <a:stretch/>
                </pic:blipFill>
                <pic:spPr bwMode="auto">
                  <a:xfrm>
                    <a:off x="0" y="0"/>
                    <a:ext cx="5803900" cy="57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BCE">
      <w:rPr>
        <w:color w:val="A5A5A5" w:themeColor="accent3"/>
        <w:sz w:val="18"/>
        <w:lang w:val="en-US"/>
      </w:rPr>
      <w:t>4</w:t>
    </w:r>
  </w:p>
  <w:p w14:paraId="1BF2D572" w14:textId="77777777" w:rsidR="00970A36" w:rsidRDefault="00970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AFD"/>
    <w:multiLevelType w:val="hybridMultilevel"/>
    <w:tmpl w:val="383E3498"/>
    <w:lvl w:ilvl="0" w:tplc="749610F0">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47619FA"/>
    <w:multiLevelType w:val="hybridMultilevel"/>
    <w:tmpl w:val="3E9094F6"/>
    <w:lvl w:ilvl="0" w:tplc="7E9ED2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781277F"/>
    <w:multiLevelType w:val="hybridMultilevel"/>
    <w:tmpl w:val="D3E0C75C"/>
    <w:lvl w:ilvl="0" w:tplc="93661422">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66"/>
    <w:rsid w:val="000110F2"/>
    <w:rsid w:val="000118AE"/>
    <w:rsid w:val="0001752F"/>
    <w:rsid w:val="0003068A"/>
    <w:rsid w:val="00032ECB"/>
    <w:rsid w:val="0003577D"/>
    <w:rsid w:val="0003667B"/>
    <w:rsid w:val="00055164"/>
    <w:rsid w:val="00057867"/>
    <w:rsid w:val="00057A13"/>
    <w:rsid w:val="0006365B"/>
    <w:rsid w:val="00074C47"/>
    <w:rsid w:val="00077453"/>
    <w:rsid w:val="00096FCC"/>
    <w:rsid w:val="000C2B97"/>
    <w:rsid w:val="000D2526"/>
    <w:rsid w:val="000D342D"/>
    <w:rsid w:val="000E49ED"/>
    <w:rsid w:val="000F011B"/>
    <w:rsid w:val="000F46B5"/>
    <w:rsid w:val="000F6712"/>
    <w:rsid w:val="001000DB"/>
    <w:rsid w:val="00103DF2"/>
    <w:rsid w:val="0010784B"/>
    <w:rsid w:val="001145E0"/>
    <w:rsid w:val="0011678D"/>
    <w:rsid w:val="00120DC2"/>
    <w:rsid w:val="0012522D"/>
    <w:rsid w:val="00125AA8"/>
    <w:rsid w:val="00130446"/>
    <w:rsid w:val="00146D98"/>
    <w:rsid w:val="0014754A"/>
    <w:rsid w:val="00174738"/>
    <w:rsid w:val="0017522B"/>
    <w:rsid w:val="001807AE"/>
    <w:rsid w:val="0018255A"/>
    <w:rsid w:val="00185A04"/>
    <w:rsid w:val="00185F46"/>
    <w:rsid w:val="0019516F"/>
    <w:rsid w:val="001A15F2"/>
    <w:rsid w:val="001A2AB1"/>
    <w:rsid w:val="001A58F9"/>
    <w:rsid w:val="001B6BD7"/>
    <w:rsid w:val="001C5C9C"/>
    <w:rsid w:val="001D0B45"/>
    <w:rsid w:val="001E3C3C"/>
    <w:rsid w:val="001F376C"/>
    <w:rsid w:val="001F3A3B"/>
    <w:rsid w:val="001F662D"/>
    <w:rsid w:val="00215314"/>
    <w:rsid w:val="0022675B"/>
    <w:rsid w:val="00247482"/>
    <w:rsid w:val="00257DE6"/>
    <w:rsid w:val="002646D9"/>
    <w:rsid w:val="00267C5C"/>
    <w:rsid w:val="00270FCE"/>
    <w:rsid w:val="0028668D"/>
    <w:rsid w:val="0029292F"/>
    <w:rsid w:val="00295E3D"/>
    <w:rsid w:val="002B168A"/>
    <w:rsid w:val="002C147C"/>
    <w:rsid w:val="002D1BF1"/>
    <w:rsid w:val="002D3842"/>
    <w:rsid w:val="003017C8"/>
    <w:rsid w:val="00320C33"/>
    <w:rsid w:val="0032390C"/>
    <w:rsid w:val="00330C13"/>
    <w:rsid w:val="003410E1"/>
    <w:rsid w:val="0034229F"/>
    <w:rsid w:val="00353AC9"/>
    <w:rsid w:val="00356B11"/>
    <w:rsid w:val="003634A1"/>
    <w:rsid w:val="003778B3"/>
    <w:rsid w:val="0038117F"/>
    <w:rsid w:val="0038373B"/>
    <w:rsid w:val="00385291"/>
    <w:rsid w:val="003903EC"/>
    <w:rsid w:val="003A1DD2"/>
    <w:rsid w:val="003A54FF"/>
    <w:rsid w:val="003C2CF0"/>
    <w:rsid w:val="003C360A"/>
    <w:rsid w:val="003D7262"/>
    <w:rsid w:val="003E441F"/>
    <w:rsid w:val="003E490D"/>
    <w:rsid w:val="003E71E5"/>
    <w:rsid w:val="003F06CB"/>
    <w:rsid w:val="003F1FE7"/>
    <w:rsid w:val="003F4558"/>
    <w:rsid w:val="0040202D"/>
    <w:rsid w:val="00410810"/>
    <w:rsid w:val="0041608B"/>
    <w:rsid w:val="004213E4"/>
    <w:rsid w:val="00457276"/>
    <w:rsid w:val="00482540"/>
    <w:rsid w:val="00493BEB"/>
    <w:rsid w:val="00495AF0"/>
    <w:rsid w:val="004A1A76"/>
    <w:rsid w:val="004A1B21"/>
    <w:rsid w:val="004B3E0A"/>
    <w:rsid w:val="004C4F8F"/>
    <w:rsid w:val="004E5569"/>
    <w:rsid w:val="004F3D6C"/>
    <w:rsid w:val="004F754C"/>
    <w:rsid w:val="0050039D"/>
    <w:rsid w:val="005032CF"/>
    <w:rsid w:val="005062D9"/>
    <w:rsid w:val="00511973"/>
    <w:rsid w:val="00511B1A"/>
    <w:rsid w:val="00516D2F"/>
    <w:rsid w:val="00530656"/>
    <w:rsid w:val="005324E8"/>
    <w:rsid w:val="00533DB9"/>
    <w:rsid w:val="0054604E"/>
    <w:rsid w:val="00551768"/>
    <w:rsid w:val="00557313"/>
    <w:rsid w:val="0056119E"/>
    <w:rsid w:val="00564814"/>
    <w:rsid w:val="00574215"/>
    <w:rsid w:val="005758B2"/>
    <w:rsid w:val="0058762D"/>
    <w:rsid w:val="00593D70"/>
    <w:rsid w:val="005B1ABC"/>
    <w:rsid w:val="005B226A"/>
    <w:rsid w:val="005B7631"/>
    <w:rsid w:val="005C7ED4"/>
    <w:rsid w:val="005D0005"/>
    <w:rsid w:val="005E4245"/>
    <w:rsid w:val="005F072F"/>
    <w:rsid w:val="005F363D"/>
    <w:rsid w:val="005F393D"/>
    <w:rsid w:val="005F43CB"/>
    <w:rsid w:val="0060170B"/>
    <w:rsid w:val="00616F15"/>
    <w:rsid w:val="00641AAC"/>
    <w:rsid w:val="00646CF8"/>
    <w:rsid w:val="00650113"/>
    <w:rsid w:val="006541E1"/>
    <w:rsid w:val="00670245"/>
    <w:rsid w:val="00675192"/>
    <w:rsid w:val="0067757D"/>
    <w:rsid w:val="0068030D"/>
    <w:rsid w:val="00685382"/>
    <w:rsid w:val="00686219"/>
    <w:rsid w:val="00695460"/>
    <w:rsid w:val="00697566"/>
    <w:rsid w:val="006A6D14"/>
    <w:rsid w:val="006B05E7"/>
    <w:rsid w:val="006B3CCB"/>
    <w:rsid w:val="006B3F43"/>
    <w:rsid w:val="006C0A72"/>
    <w:rsid w:val="006C3D40"/>
    <w:rsid w:val="006C47E4"/>
    <w:rsid w:val="006D2121"/>
    <w:rsid w:val="00700F23"/>
    <w:rsid w:val="00701D9B"/>
    <w:rsid w:val="00702BEB"/>
    <w:rsid w:val="00703D90"/>
    <w:rsid w:val="00712FF0"/>
    <w:rsid w:val="00716EFF"/>
    <w:rsid w:val="00720538"/>
    <w:rsid w:val="0073350A"/>
    <w:rsid w:val="007444A4"/>
    <w:rsid w:val="0074652B"/>
    <w:rsid w:val="00750321"/>
    <w:rsid w:val="00751BF0"/>
    <w:rsid w:val="00753A41"/>
    <w:rsid w:val="00764C70"/>
    <w:rsid w:val="00771E85"/>
    <w:rsid w:val="00772CB9"/>
    <w:rsid w:val="007819F8"/>
    <w:rsid w:val="00787DA9"/>
    <w:rsid w:val="00791305"/>
    <w:rsid w:val="00793D76"/>
    <w:rsid w:val="007A2E5F"/>
    <w:rsid w:val="007A3A49"/>
    <w:rsid w:val="007A5DE1"/>
    <w:rsid w:val="007D4B0A"/>
    <w:rsid w:val="007D57AC"/>
    <w:rsid w:val="007D674C"/>
    <w:rsid w:val="007E712D"/>
    <w:rsid w:val="007F371C"/>
    <w:rsid w:val="00815F03"/>
    <w:rsid w:val="00816E16"/>
    <w:rsid w:val="008314FC"/>
    <w:rsid w:val="008470AA"/>
    <w:rsid w:val="008526FF"/>
    <w:rsid w:val="0085722C"/>
    <w:rsid w:val="008576EA"/>
    <w:rsid w:val="00861853"/>
    <w:rsid w:val="00870DDF"/>
    <w:rsid w:val="008759FC"/>
    <w:rsid w:val="00880A55"/>
    <w:rsid w:val="00881C8D"/>
    <w:rsid w:val="0088455D"/>
    <w:rsid w:val="00892897"/>
    <w:rsid w:val="008B04E8"/>
    <w:rsid w:val="008B7544"/>
    <w:rsid w:val="008C1E62"/>
    <w:rsid w:val="008D6F52"/>
    <w:rsid w:val="008D75B6"/>
    <w:rsid w:val="008E4D5B"/>
    <w:rsid w:val="008E6484"/>
    <w:rsid w:val="008E6565"/>
    <w:rsid w:val="009174F3"/>
    <w:rsid w:val="00937D2B"/>
    <w:rsid w:val="00940997"/>
    <w:rsid w:val="00940D8A"/>
    <w:rsid w:val="00950965"/>
    <w:rsid w:val="009521B5"/>
    <w:rsid w:val="00970A36"/>
    <w:rsid w:val="009833D7"/>
    <w:rsid w:val="00997BCE"/>
    <w:rsid w:val="009A53FF"/>
    <w:rsid w:val="009B2A94"/>
    <w:rsid w:val="009B5A71"/>
    <w:rsid w:val="009C468D"/>
    <w:rsid w:val="009E25EA"/>
    <w:rsid w:val="009E7C50"/>
    <w:rsid w:val="00A02964"/>
    <w:rsid w:val="00A33DFF"/>
    <w:rsid w:val="00A47F25"/>
    <w:rsid w:val="00A5380C"/>
    <w:rsid w:val="00A61C00"/>
    <w:rsid w:val="00A658B4"/>
    <w:rsid w:val="00A731A6"/>
    <w:rsid w:val="00A86620"/>
    <w:rsid w:val="00A96453"/>
    <w:rsid w:val="00A97488"/>
    <w:rsid w:val="00AA6475"/>
    <w:rsid w:val="00AA7E2D"/>
    <w:rsid w:val="00AB0446"/>
    <w:rsid w:val="00AB2931"/>
    <w:rsid w:val="00AB2FEA"/>
    <w:rsid w:val="00AB37D9"/>
    <w:rsid w:val="00AB4EDF"/>
    <w:rsid w:val="00AC1DFD"/>
    <w:rsid w:val="00AC25F4"/>
    <w:rsid w:val="00AC69AC"/>
    <w:rsid w:val="00AD2678"/>
    <w:rsid w:val="00AD5CBD"/>
    <w:rsid w:val="00AF0E13"/>
    <w:rsid w:val="00B01D33"/>
    <w:rsid w:val="00B06912"/>
    <w:rsid w:val="00B06C5B"/>
    <w:rsid w:val="00B06E09"/>
    <w:rsid w:val="00B24279"/>
    <w:rsid w:val="00B3416E"/>
    <w:rsid w:val="00B371DD"/>
    <w:rsid w:val="00B3773C"/>
    <w:rsid w:val="00B37B8A"/>
    <w:rsid w:val="00B41B11"/>
    <w:rsid w:val="00B44525"/>
    <w:rsid w:val="00B5459C"/>
    <w:rsid w:val="00B600FE"/>
    <w:rsid w:val="00B65A93"/>
    <w:rsid w:val="00B670CB"/>
    <w:rsid w:val="00B745A5"/>
    <w:rsid w:val="00B90CC9"/>
    <w:rsid w:val="00BA12ED"/>
    <w:rsid w:val="00BA507B"/>
    <w:rsid w:val="00BA5174"/>
    <w:rsid w:val="00BA606A"/>
    <w:rsid w:val="00BB5668"/>
    <w:rsid w:val="00BB6589"/>
    <w:rsid w:val="00BC2095"/>
    <w:rsid w:val="00BC33DA"/>
    <w:rsid w:val="00BD5FE9"/>
    <w:rsid w:val="00BE6349"/>
    <w:rsid w:val="00C150E0"/>
    <w:rsid w:val="00C17B39"/>
    <w:rsid w:val="00C2461B"/>
    <w:rsid w:val="00C24828"/>
    <w:rsid w:val="00C31C1F"/>
    <w:rsid w:val="00C37286"/>
    <w:rsid w:val="00C47FF3"/>
    <w:rsid w:val="00C539FE"/>
    <w:rsid w:val="00C550A8"/>
    <w:rsid w:val="00C56192"/>
    <w:rsid w:val="00C57490"/>
    <w:rsid w:val="00C7418A"/>
    <w:rsid w:val="00C92F80"/>
    <w:rsid w:val="00C93FE1"/>
    <w:rsid w:val="00CA3767"/>
    <w:rsid w:val="00CA4065"/>
    <w:rsid w:val="00CB069C"/>
    <w:rsid w:val="00CB4195"/>
    <w:rsid w:val="00CC0175"/>
    <w:rsid w:val="00CC2190"/>
    <w:rsid w:val="00CC5595"/>
    <w:rsid w:val="00CD43BF"/>
    <w:rsid w:val="00CD7822"/>
    <w:rsid w:val="00CD7E7C"/>
    <w:rsid w:val="00CF0323"/>
    <w:rsid w:val="00CF12F5"/>
    <w:rsid w:val="00CF7500"/>
    <w:rsid w:val="00D03CA2"/>
    <w:rsid w:val="00D110E4"/>
    <w:rsid w:val="00D40B33"/>
    <w:rsid w:val="00D50360"/>
    <w:rsid w:val="00D62959"/>
    <w:rsid w:val="00D7196E"/>
    <w:rsid w:val="00D82162"/>
    <w:rsid w:val="00D86F17"/>
    <w:rsid w:val="00D87663"/>
    <w:rsid w:val="00D879B7"/>
    <w:rsid w:val="00D87C25"/>
    <w:rsid w:val="00D94CC3"/>
    <w:rsid w:val="00D95E6E"/>
    <w:rsid w:val="00D96839"/>
    <w:rsid w:val="00DA6A3F"/>
    <w:rsid w:val="00DA792C"/>
    <w:rsid w:val="00DC017A"/>
    <w:rsid w:val="00DC073C"/>
    <w:rsid w:val="00DC3D5F"/>
    <w:rsid w:val="00DC4DA6"/>
    <w:rsid w:val="00DC61BE"/>
    <w:rsid w:val="00DD13CD"/>
    <w:rsid w:val="00DD1CB6"/>
    <w:rsid w:val="00DD3060"/>
    <w:rsid w:val="00DE0E33"/>
    <w:rsid w:val="00E05001"/>
    <w:rsid w:val="00E10486"/>
    <w:rsid w:val="00E25907"/>
    <w:rsid w:val="00E30C57"/>
    <w:rsid w:val="00E31187"/>
    <w:rsid w:val="00E35996"/>
    <w:rsid w:val="00E54E02"/>
    <w:rsid w:val="00E62A2B"/>
    <w:rsid w:val="00E93542"/>
    <w:rsid w:val="00EA066D"/>
    <w:rsid w:val="00EA2E6C"/>
    <w:rsid w:val="00EA3ADE"/>
    <w:rsid w:val="00EB750D"/>
    <w:rsid w:val="00EB7A2C"/>
    <w:rsid w:val="00EC1232"/>
    <w:rsid w:val="00EC5B95"/>
    <w:rsid w:val="00ED5921"/>
    <w:rsid w:val="00ED5DF7"/>
    <w:rsid w:val="00EE06A5"/>
    <w:rsid w:val="00EF5DEE"/>
    <w:rsid w:val="00F176AC"/>
    <w:rsid w:val="00F22BE4"/>
    <w:rsid w:val="00F3065F"/>
    <w:rsid w:val="00F32755"/>
    <w:rsid w:val="00F36EE9"/>
    <w:rsid w:val="00F46BA5"/>
    <w:rsid w:val="00F61D93"/>
    <w:rsid w:val="00F6649E"/>
    <w:rsid w:val="00F73EAF"/>
    <w:rsid w:val="00F9592C"/>
    <w:rsid w:val="00F9726A"/>
    <w:rsid w:val="00FA662C"/>
    <w:rsid w:val="00FB3BF7"/>
    <w:rsid w:val="00FB5C2D"/>
    <w:rsid w:val="00FC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235FC"/>
  <w15:chartTrackingRefBased/>
  <w15:docId w15:val="{0DC024AF-93EC-4560-8B3D-9DEF975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3CB"/>
    <w:pPr>
      <w:spacing w:before="60" w:after="0" w:line="240" w:lineRule="auto"/>
      <w:jc w:val="both"/>
    </w:pPr>
    <w:rPr>
      <w:sz w:val="20"/>
      <w:lang w:bidi="ru-RU"/>
    </w:rPr>
  </w:style>
  <w:style w:type="paragraph" w:styleId="1">
    <w:name w:val="heading 1"/>
    <w:basedOn w:val="a"/>
    <w:next w:val="a"/>
    <w:link w:val="10"/>
    <w:uiPriority w:val="9"/>
    <w:qFormat/>
    <w:rsid w:val="00EA066D"/>
    <w:pPr>
      <w:spacing w:after="480"/>
      <w:jc w:val="center"/>
      <w:outlineLvl w:val="0"/>
    </w:pPr>
    <w:rPr>
      <w:b/>
      <w:sz w:val="28"/>
    </w:rPr>
  </w:style>
  <w:style w:type="paragraph" w:styleId="2">
    <w:name w:val="heading 2"/>
    <w:basedOn w:val="a"/>
    <w:next w:val="a"/>
    <w:link w:val="20"/>
    <w:uiPriority w:val="9"/>
    <w:unhideWhenUsed/>
    <w:qFormat/>
    <w:rsid w:val="00BA507B"/>
    <w:pPr>
      <w:jc w:val="center"/>
      <w:outlineLvl w:val="1"/>
    </w:pPr>
  </w:style>
  <w:style w:type="paragraph" w:styleId="3">
    <w:name w:val="heading 3"/>
    <w:basedOn w:val="a"/>
    <w:next w:val="a"/>
    <w:link w:val="30"/>
    <w:uiPriority w:val="9"/>
    <w:unhideWhenUsed/>
    <w:qFormat/>
    <w:rsid w:val="00EA066D"/>
    <w:pPr>
      <w:spacing w:before="120" w:after="240"/>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DA6"/>
    <w:pPr>
      <w:tabs>
        <w:tab w:val="center" w:pos="4677"/>
        <w:tab w:val="right" w:pos="9355"/>
      </w:tabs>
    </w:pPr>
  </w:style>
  <w:style w:type="character" w:customStyle="1" w:styleId="a4">
    <w:name w:val="Верхний колонтитул Знак"/>
    <w:basedOn w:val="a0"/>
    <w:link w:val="a3"/>
    <w:uiPriority w:val="99"/>
    <w:rsid w:val="00DC4DA6"/>
  </w:style>
  <w:style w:type="paragraph" w:styleId="a5">
    <w:name w:val="footer"/>
    <w:basedOn w:val="a"/>
    <w:link w:val="a6"/>
    <w:uiPriority w:val="99"/>
    <w:unhideWhenUsed/>
    <w:rsid w:val="00DC4DA6"/>
    <w:pPr>
      <w:tabs>
        <w:tab w:val="center" w:pos="4677"/>
        <w:tab w:val="right" w:pos="9355"/>
      </w:tabs>
    </w:pPr>
  </w:style>
  <w:style w:type="character" w:customStyle="1" w:styleId="a6">
    <w:name w:val="Нижний колонтитул Знак"/>
    <w:basedOn w:val="a0"/>
    <w:link w:val="a5"/>
    <w:uiPriority w:val="99"/>
    <w:rsid w:val="00DC4DA6"/>
  </w:style>
  <w:style w:type="character" w:customStyle="1" w:styleId="10">
    <w:name w:val="Заголовок 1 Знак"/>
    <w:basedOn w:val="a0"/>
    <w:link w:val="1"/>
    <w:uiPriority w:val="9"/>
    <w:rsid w:val="00EA066D"/>
    <w:rPr>
      <w:b/>
      <w:sz w:val="28"/>
      <w:lang w:bidi="ru-RU"/>
    </w:rPr>
  </w:style>
  <w:style w:type="character" w:customStyle="1" w:styleId="20">
    <w:name w:val="Заголовок 2 Знак"/>
    <w:basedOn w:val="a0"/>
    <w:link w:val="2"/>
    <w:uiPriority w:val="9"/>
    <w:rsid w:val="00BA507B"/>
  </w:style>
  <w:style w:type="paragraph" w:styleId="a7">
    <w:name w:val="List Paragraph"/>
    <w:basedOn w:val="a"/>
    <w:uiPriority w:val="34"/>
    <w:qFormat/>
    <w:rsid w:val="000F011B"/>
    <w:pPr>
      <w:ind w:left="720"/>
      <w:contextualSpacing/>
    </w:pPr>
  </w:style>
  <w:style w:type="character" w:customStyle="1" w:styleId="30">
    <w:name w:val="Заголовок 3 Знак"/>
    <w:basedOn w:val="a0"/>
    <w:link w:val="3"/>
    <w:uiPriority w:val="9"/>
    <w:rsid w:val="00EA066D"/>
    <w:rPr>
      <w:b/>
      <w:i/>
      <w:sz w:val="24"/>
      <w:lang w:bidi="ru-RU"/>
    </w:rPr>
  </w:style>
  <w:style w:type="paragraph" w:styleId="a8">
    <w:name w:val="Subtitle"/>
    <w:basedOn w:val="a5"/>
    <w:next w:val="a"/>
    <w:link w:val="a9"/>
    <w:uiPriority w:val="11"/>
    <w:qFormat/>
    <w:rsid w:val="001000DB"/>
    <w:pPr>
      <w:jc w:val="left"/>
    </w:pPr>
    <w:rPr>
      <w:sz w:val="16"/>
    </w:rPr>
  </w:style>
  <w:style w:type="character" w:customStyle="1" w:styleId="a9">
    <w:name w:val="Подзаголовок Знак"/>
    <w:basedOn w:val="a0"/>
    <w:link w:val="a8"/>
    <w:uiPriority w:val="11"/>
    <w:rsid w:val="001000DB"/>
    <w:rPr>
      <w:sz w:val="16"/>
      <w:lang w:bidi="ru-RU"/>
    </w:rPr>
  </w:style>
  <w:style w:type="character" w:styleId="aa">
    <w:name w:val="Hyperlink"/>
    <w:basedOn w:val="a0"/>
    <w:uiPriority w:val="99"/>
    <w:unhideWhenUsed/>
    <w:rsid w:val="00DA6A3F"/>
    <w:rPr>
      <w:color w:val="0563C1" w:themeColor="hyperlink"/>
      <w:u w:val="single"/>
    </w:rPr>
  </w:style>
  <w:style w:type="paragraph" w:styleId="ab">
    <w:name w:val="No Spacing"/>
    <w:uiPriority w:val="1"/>
    <w:qFormat/>
    <w:rsid w:val="008D75B6"/>
    <w:pPr>
      <w:spacing w:after="0" w:line="240" w:lineRule="auto"/>
      <w:jc w:val="both"/>
    </w:pPr>
    <w:rPr>
      <w:sz w:val="20"/>
      <w:lang w:bidi="ru-RU"/>
    </w:rPr>
  </w:style>
  <w:style w:type="character" w:customStyle="1" w:styleId="fontstyle01">
    <w:name w:val="fontstyle01"/>
    <w:basedOn w:val="a0"/>
    <w:rsid w:val="006D2121"/>
    <w:rPr>
      <w:rFonts w:ascii="Arial-ItalicMT" w:hAnsi="Arial-ItalicMT" w:hint="default"/>
      <w:b w:val="0"/>
      <w:bCs w:val="0"/>
      <w:i/>
      <w:iCs/>
      <w:color w:val="000000"/>
      <w:sz w:val="20"/>
      <w:szCs w:val="20"/>
    </w:rPr>
  </w:style>
  <w:style w:type="character" w:customStyle="1" w:styleId="fontstyle21">
    <w:name w:val="fontstyle21"/>
    <w:basedOn w:val="a0"/>
    <w:rsid w:val="006D2121"/>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646">
      <w:bodyDiv w:val="1"/>
      <w:marLeft w:val="0"/>
      <w:marRight w:val="0"/>
      <w:marTop w:val="0"/>
      <w:marBottom w:val="0"/>
      <w:divBdr>
        <w:top w:val="none" w:sz="0" w:space="0" w:color="auto"/>
        <w:left w:val="none" w:sz="0" w:space="0" w:color="auto"/>
        <w:bottom w:val="none" w:sz="0" w:space="0" w:color="auto"/>
        <w:right w:val="none" w:sz="0" w:space="0" w:color="auto"/>
      </w:divBdr>
    </w:div>
    <w:div w:id="814882942">
      <w:bodyDiv w:val="1"/>
      <w:marLeft w:val="0"/>
      <w:marRight w:val="0"/>
      <w:marTop w:val="0"/>
      <w:marBottom w:val="0"/>
      <w:divBdr>
        <w:top w:val="none" w:sz="0" w:space="0" w:color="auto"/>
        <w:left w:val="none" w:sz="0" w:space="0" w:color="auto"/>
        <w:bottom w:val="none" w:sz="0" w:space="0" w:color="auto"/>
        <w:right w:val="none" w:sz="0" w:space="0" w:color="auto"/>
      </w:divBdr>
    </w:div>
    <w:div w:id="1163737118">
      <w:bodyDiv w:val="1"/>
      <w:marLeft w:val="0"/>
      <w:marRight w:val="0"/>
      <w:marTop w:val="0"/>
      <w:marBottom w:val="0"/>
      <w:divBdr>
        <w:top w:val="none" w:sz="0" w:space="0" w:color="auto"/>
        <w:left w:val="none" w:sz="0" w:space="0" w:color="auto"/>
        <w:bottom w:val="none" w:sz="0" w:space="0" w:color="auto"/>
        <w:right w:val="none" w:sz="0" w:space="0" w:color="auto"/>
      </w:divBdr>
    </w:div>
    <w:div w:id="1457481862">
      <w:bodyDiv w:val="1"/>
      <w:marLeft w:val="0"/>
      <w:marRight w:val="0"/>
      <w:marTop w:val="0"/>
      <w:marBottom w:val="0"/>
      <w:divBdr>
        <w:top w:val="none" w:sz="0" w:space="0" w:color="auto"/>
        <w:left w:val="none" w:sz="0" w:space="0" w:color="auto"/>
        <w:bottom w:val="none" w:sz="0" w:space="0" w:color="auto"/>
        <w:right w:val="none" w:sz="0" w:space="0" w:color="auto"/>
      </w:divBdr>
    </w:div>
    <w:div w:id="20203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s-class.org/ru/register/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4</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Олег Александрович / Oleg Chernov</dc:creator>
  <cp:keywords/>
  <dc:description/>
  <cp:lastModifiedBy>Легуша Сергей Федорович</cp:lastModifiedBy>
  <cp:revision>214</cp:revision>
  <cp:lastPrinted>2023-04-05T11:25:00Z</cp:lastPrinted>
  <dcterms:created xsi:type="dcterms:W3CDTF">2022-10-03T13:45:00Z</dcterms:created>
  <dcterms:modified xsi:type="dcterms:W3CDTF">2024-02-20T06:57:00Z</dcterms:modified>
</cp:coreProperties>
</file>