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30" w:rsidRPr="00645164" w:rsidRDefault="00C06630" w:rsidP="00C06630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sz w:val="24"/>
          <w:szCs w:val="26"/>
          <w:lang w:bidi="ru-RU"/>
        </w:rPr>
        <w:t>102-я сессия КБМ – 4-11 ноября 2020 г.</w:t>
      </w:r>
    </w:p>
    <w:p w:rsidR="00C06630" w:rsidRPr="00645164" w:rsidRDefault="00C06630" w:rsidP="00C06630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C06630" w:rsidRPr="00645164" w:rsidRDefault="00C06630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102-я сессия Комитета по безопасности на море первоначально была запланирована к проведению с 13 по 22 мая 2020 г. и впоследствии была проведена дистанционно с 4 по 11 ноября 2020 г. </w:t>
      </w:r>
    </w:p>
    <w:p w:rsidR="00376C42" w:rsidRPr="00645164" w:rsidRDefault="00376C42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Предложенные п</w:t>
      </w:r>
      <w:r w:rsidR="00003F4A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оправки к Конвенции СОЛАС 1974</w:t>
      </w:r>
    </w:p>
    <w:p w:rsidR="00C0663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102 сессия КБМ резолюцией MSC.474(102) приняла Поправки к главе II-1 МК СОЛАС в отношении буксирного и швартовного оборудования</w:t>
      </w:r>
      <w:r w:rsidR="00D74C05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, а также </w:t>
      </w:r>
      <w:r w:rsid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>водонепроницаемости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. </w:t>
      </w:r>
    </w:p>
    <w:p w:rsidR="00D22ED9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согласовала проект дополнительных редакционных правок к главе II-1 Конвенции, внесенных Секретариатом, которые были внесены в ходе подготовки СОЛАС к публикации 2020 г. </w:t>
      </w:r>
    </w:p>
    <w:p w:rsidR="00F50773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Рассмотрев комментарии делегации Италии в отношении необходимости добровольного раннего в</w:t>
      </w:r>
      <w:r w:rsidR="0083264D">
        <w:rPr>
          <w:rFonts w:ascii="Times New Roman" w:eastAsia="Times New Roman" w:hAnsi="Times New Roman" w:cs="Times New Roman"/>
          <w:sz w:val="24"/>
          <w:szCs w:val="26"/>
          <w:lang w:bidi="ru-RU"/>
        </w:rPr>
        <w:t>недрения проекта нового правила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II-1/12.6.2 (Переборки пиков и машинного помещения, туннели гребных валов и т.д.) касательно типа клапанов, которые должны применяться на трубопроводах, проходящих через таранные переборки, с целью обеспечения того, что новое правило также будет применимо к судам, построенным до 1 января 2024 г., 102 сессия КБМ согласовала циркуляр КБМ в отношении добровольного раннего внедрения поправок к правилу II-1/12.6.2 МК СОЛАС. </w:t>
      </w:r>
    </w:p>
    <w:p w:rsidR="00F50773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Правительства государств-членов ИМО должны сообщить Организации о добровольном раннем внедрении для распространения через ГИСИС. В дополнение</w:t>
      </w:r>
      <w:r w:rsidR="0083264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к приведенной выше информации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Правительство государства-члена ИМО также может рассмотреть применение существующих положений для соответствующих действий в соответствии с правилом I/5 Конвенции СОЛАС для урегулирования промежуточного периода между датой добровольного раннего внедрения и датой вступления поправок в силу.</w:t>
      </w:r>
    </w:p>
    <w:p w:rsidR="00376C42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Предлагаемые поправки к Кодексам IGF, IGC и IMDG, являющиеся обязательным</w:t>
      </w:r>
      <w:r w:rsidR="0083264D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и в соответствии с МК СОЛАС</w:t>
      </w:r>
      <w:r w:rsidR="004E0C71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19</w:t>
      </w:r>
      <w:r w:rsidR="0083264D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74</w:t>
      </w: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Проект поправок к Коде</w:t>
      </w:r>
      <w:r w:rsidR="0083264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ксу IGF 102 сессия КБМ приняла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резолюцию MSC.475(102), которая вносит поправки в раздел 6 (Система хранения топлива), 11 (Противопожарная защита) и 16 (Изготовление, качество изготовления и испытания) Кодекса IGF, касающиеся правил для систем сброса давления и систем пожаротушения помещения для подготовки топлива, а также сварки металлических материалов и неразрушающих испыта</w:t>
      </w:r>
      <w:r w:rsidR="0083264D">
        <w:rPr>
          <w:rFonts w:ascii="Times New Roman" w:eastAsia="Times New Roman" w:hAnsi="Times New Roman" w:cs="Times New Roman"/>
          <w:sz w:val="24"/>
          <w:szCs w:val="26"/>
          <w:lang w:bidi="ru-RU"/>
        </w:rPr>
        <w:t>ний системы хранения топлива.</w:t>
      </w: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Поправки считаются принятыми с 1 июля 2023 г. и вступают в силу с 1 января 2024 г. </w:t>
      </w:r>
    </w:p>
    <w:p w:rsidR="00376C42" w:rsidRPr="00645164" w:rsidRDefault="00376C42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Проект поправок к Кодексу IGC </w:t>
      </w: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102 сессия КБМ приняла резолюцию MSC.476(102), вносящую поправки в главу 6 (Материалы постройки и контроль качества) Кодекса IGC, касающиеся испытаний процедуры сварки в грузовых танках и технологических камерах под д</w:t>
      </w:r>
      <w:r w:rsidR="0083264D">
        <w:rPr>
          <w:rFonts w:ascii="Times New Roman" w:eastAsia="Times New Roman" w:hAnsi="Times New Roman" w:cs="Times New Roman"/>
          <w:sz w:val="24"/>
          <w:szCs w:val="26"/>
          <w:lang w:bidi="ru-RU"/>
        </w:rPr>
        <w:t>авлением.</w:t>
      </w: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Поправки считаются принятыми с 1 июля 2023 г. и вступают в силу с 1 января 2024 г. </w:t>
      </w:r>
    </w:p>
    <w:p w:rsidR="00376C42" w:rsidRPr="00645164" w:rsidRDefault="00376C42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Проект поправок к Кодексу IMDG </w:t>
      </w: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приняла резолюцию MSC.477(102) - Поправка 40-20 к Кодексу IMDG, ранее согласованную на 6 сессии </w:t>
      </w:r>
      <w:r w:rsidR="00B002E2" w:rsidRPr="00B002E2">
        <w:rPr>
          <w:rFonts w:ascii="Times New Roman" w:hAnsi="Times New Roman" w:cs="Times New Roman"/>
          <w:sz w:val="24"/>
          <w:szCs w:val="24"/>
        </w:rPr>
        <w:t>Подкомитет</w:t>
      </w:r>
      <w:r w:rsidR="00B002E2">
        <w:rPr>
          <w:rFonts w:ascii="Times New Roman" w:hAnsi="Times New Roman" w:cs="Times New Roman"/>
          <w:sz w:val="24"/>
          <w:szCs w:val="24"/>
        </w:rPr>
        <w:t>а</w:t>
      </w:r>
      <w:r w:rsidR="00B002E2" w:rsidRPr="00B002E2">
        <w:rPr>
          <w:rFonts w:ascii="Times New Roman" w:hAnsi="Times New Roman" w:cs="Times New Roman"/>
          <w:sz w:val="24"/>
          <w:szCs w:val="24"/>
        </w:rPr>
        <w:t xml:space="preserve"> ИМО по перевозке грузов и контейнеров</w:t>
      </w:r>
      <w:r w:rsidR="00D74C05">
        <w:rPr>
          <w:rFonts w:ascii="Times New Roman" w:hAnsi="Times New Roman" w:cs="Times New Roman"/>
          <w:sz w:val="24"/>
          <w:szCs w:val="24"/>
        </w:rPr>
        <w:t xml:space="preserve"> (</w:t>
      </w:r>
      <w:r w:rsidR="00D74C05">
        <w:rPr>
          <w:rFonts w:ascii="Times New Roman" w:hAnsi="Times New Roman" w:cs="Times New Roman"/>
          <w:sz w:val="24"/>
          <w:szCs w:val="24"/>
          <w:lang w:val="en-US"/>
        </w:rPr>
        <w:t>CCC</w:t>
      </w:r>
      <w:r w:rsidR="00D74C05" w:rsidRPr="006B61DB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="00D74C05">
        <w:rPr>
          <w:rFonts w:ascii="Times New Roman" w:hAnsi="Times New Roman" w:cs="Times New Roman"/>
          <w:sz w:val="24"/>
          <w:szCs w:val="24"/>
        </w:rPr>
        <w:t xml:space="preserve">)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proofErr w:type="gram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Поправки считаются принятыми с 1 декабря 2021 г. и вступают в силу 1 июня 2022 г. В соответствии с решением, принятым на 87 сессии КБМ, поправки в Кодекс IMDG должны вноситься каждые 2 года, а консолидированный текст Кодекса должен составляться каждые 4 года. </w:t>
      </w:r>
    </w:p>
    <w:p w:rsidR="00645164" w:rsidRDefault="00C06630" w:rsidP="006B61D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Таким образом, консолидированный текст Кодекса будет распространен Секретариатом по окончании сессии. </w:t>
      </w:r>
      <w:r w:rsidR="00645164">
        <w:rPr>
          <w:rFonts w:ascii="Times New Roman" w:hAnsi="Times New Roman" w:cs="Times New Roman"/>
          <w:b/>
          <w:i/>
          <w:sz w:val="24"/>
          <w:szCs w:val="26"/>
        </w:rPr>
        <w:br w:type="page"/>
      </w:r>
    </w:p>
    <w:p w:rsidR="00376C42" w:rsidRPr="00645164" w:rsidRDefault="00376C42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532940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Пересмотренное Руководство </w:t>
      </w:r>
      <w:proofErr w:type="spellStart"/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EmS</w:t>
      </w:r>
      <w:proofErr w:type="spellEnd"/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</w:t>
      </w:r>
    </w:p>
    <w:p w:rsidR="00652D18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32 сессия Редакционно-технической группы подготовила проект Пересмотренных процедур аварийного реагирования для судов, перевозящих опасные грузы (MSC.1/Circ.1588), исходя из проекта поправки 40-20 к Кодексу IMDG. </w:t>
      </w:r>
    </w:p>
    <w:p w:rsidR="00652D18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КБМ 102 одобрила циркуляр MSC.1/Circ.1619 в отношении Пересмотренных процедур аварийного реагирования для судов, перевозящих опасные грузы (MSC.1/Circ.1588) (Руководство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EmS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). </w:t>
      </w:r>
    </w:p>
    <w:p w:rsidR="00652D18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Правительствам-членам ИМО предлагается внести прилагаемые поправки в Пересмотренное руководство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EmS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на рассмотрение всех заинтересованных сторон с учетом даты добровольного применения поправки (40-20) к К</w:t>
      </w:r>
      <w:r w:rsidR="005F688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одексу IMDG с 1 января 2021 г.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при условии даты планируемого обязательного вступления в силу 1 июня 2022 г. </w:t>
      </w:r>
    </w:p>
    <w:p w:rsidR="00376C42" w:rsidRPr="00645164" w:rsidRDefault="00376C42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652D18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Швартовные устройства и оборудование</w:t>
      </w:r>
    </w:p>
    <w:p w:rsidR="00652D18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 целью одобрения одновременно с принятием проекта поправок к правилу II-1/3-8 Конвенции СОЛАС, 102 сессия КБМ одобрила: </w:t>
      </w:r>
    </w:p>
    <w:p w:rsidR="00652D18" w:rsidRPr="00645164" w:rsidRDefault="00652D18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MSC.1/Circ.1620 в отношении Руководства по проектированию швартовного оборудования и выбору соответствующего швартовного оборудования и креплений для безопасной швартовки; </w:t>
      </w:r>
    </w:p>
    <w:p w:rsidR="00652D18" w:rsidRPr="00645164" w:rsidRDefault="00652D18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MSC.1/Circ.1621 в отношении Руководства по осмотру и техническому обслуживанию причального оборудования, включая швартовы; </w:t>
      </w:r>
    </w:p>
    <w:p w:rsidR="00652D18" w:rsidRPr="00645164" w:rsidRDefault="00652D18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MSC.1/Circ.1175/Rev.1 в отношении Пересмотренного руководства по судовому буксирному и швартовному оборудованию. </w:t>
      </w:r>
    </w:p>
    <w:p w:rsidR="00376C42" w:rsidRPr="00645164" w:rsidRDefault="00376C42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652D18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Целевые стандарты по конструкции новых судов </w:t>
      </w:r>
    </w:p>
    <w:p w:rsidR="00652D18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102 сессия КБМ рассмотрела несколько различных отчетов о проверках соблюдения Целевых стандартов по конструкции</w:t>
      </w:r>
      <w:r w:rsidR="003762C7" w:rsidRP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 </w:t>
      </w:r>
      <w:r w:rsidR="003762C7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Плановые </w:t>
      </w:r>
      <w:r w:rsidR="003762C7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поддерживающи</w:t>
      </w:r>
      <w:r w:rsidR="003762C7">
        <w:rPr>
          <w:rFonts w:ascii="Times New Roman" w:eastAsia="Times New Roman" w:hAnsi="Times New Roman" w:cs="Times New Roman"/>
          <w:sz w:val="24"/>
          <w:szCs w:val="26"/>
          <w:lang w:bidi="ru-RU"/>
        </w:rPr>
        <w:t>е</w:t>
      </w:r>
      <w:r w:rsidR="003762C7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проверки проводи</w:t>
      </w:r>
      <w:r w:rsidR="003762C7">
        <w:rPr>
          <w:rFonts w:ascii="Times New Roman" w:eastAsia="Times New Roman" w:hAnsi="Times New Roman" w:cs="Times New Roman"/>
          <w:sz w:val="24"/>
          <w:szCs w:val="26"/>
          <w:lang w:bidi="ru-RU"/>
        </w:rPr>
        <w:t>лись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на ежегодной основе в 2018 и 2019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г.г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. в соответствии с Руководством по подтверждению соответствия Целевым стандартам (MSC 296(87)). </w:t>
      </w:r>
    </w:p>
    <w:p w:rsidR="00BC2D54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Следует напомнить, что </w:t>
      </w:r>
      <w:r w:rsidR="003762C7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 момента вступления в силу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Пересмотренно</w:t>
      </w:r>
      <w:r w:rsidR="003762C7">
        <w:rPr>
          <w:rFonts w:ascii="Times New Roman" w:eastAsia="Times New Roman" w:hAnsi="Times New Roman" w:cs="Times New Roman"/>
          <w:sz w:val="24"/>
          <w:szCs w:val="26"/>
          <w:lang w:bidi="ru-RU"/>
        </w:rPr>
        <w:t>го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руководств</w:t>
      </w:r>
      <w:r w:rsidR="003762C7">
        <w:rPr>
          <w:rFonts w:ascii="Times New Roman" w:eastAsia="Times New Roman" w:hAnsi="Times New Roman" w:cs="Times New Roman"/>
          <w:sz w:val="24"/>
          <w:szCs w:val="26"/>
          <w:lang w:bidi="ru-RU"/>
        </w:rPr>
        <w:t>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по подтверждению соответствия целевым стандартам (MSC 454(100)) </w:t>
      </w:r>
      <w:r w:rsidR="003762C7">
        <w:rPr>
          <w:rFonts w:ascii="Times New Roman" w:eastAsia="Times New Roman" w:hAnsi="Times New Roman" w:cs="Times New Roman"/>
          <w:sz w:val="24"/>
          <w:szCs w:val="26"/>
          <w:lang w:bidi="ru-RU"/>
        </w:rPr>
        <w:t>плановый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интервал между поддерживающими проверками изменен и в настоящее время составляет 3 года. </w:t>
      </w:r>
    </w:p>
    <w:p w:rsidR="00BC2D54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рассмотрела окончательный отчет о проведении второй поддерживающей проверки 11 признанных организаций на соответствие требованиям Общих правил МАКО по конструкции (CSR) для навалочных </w:t>
      </w:r>
      <w:r w:rsidR="005F6881">
        <w:rPr>
          <w:rFonts w:ascii="Times New Roman" w:eastAsia="Times New Roman" w:hAnsi="Times New Roman" w:cs="Times New Roman"/>
          <w:sz w:val="24"/>
          <w:szCs w:val="26"/>
          <w:lang w:bidi="ru-RU"/>
        </w:rPr>
        <w:t>судов и нефтеналивных танкеров.</w:t>
      </w:r>
    </w:p>
    <w:p w:rsidR="00BC2D54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</w:t>
      </w:r>
      <w:r w:rsidR="00B97AA1">
        <w:rPr>
          <w:rFonts w:ascii="Times New Roman" w:eastAsia="Times New Roman" w:hAnsi="Times New Roman" w:cs="Times New Roman"/>
          <w:sz w:val="24"/>
          <w:szCs w:val="26"/>
          <w:lang w:bidi="ru-RU"/>
        </w:rPr>
        <w:t>допустила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, что правила всех ПО соответствуют Целевым стандартам при условии, что выявленные несоответствия устранены, и рекомендации Группы аудиторов учтены. </w:t>
      </w:r>
    </w:p>
    <w:p w:rsidR="00BC2D54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Комитет потребовал, чтобы те ПО, у которых имеются отдельные несоответствия, направили запрос на проведение проверки по устранению несоответствий и ПО</w:t>
      </w:r>
      <w:r w:rsid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</w:t>
      </w:r>
      <w:r w:rsid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члены МАКО своевременно представили общий запрос на проведение подтверждающей проверки для устранения несоответствий в отношении подтвержденных несоответствий, касающихся Об</w:t>
      </w:r>
      <w:r w:rsidR="005F6881">
        <w:rPr>
          <w:rFonts w:ascii="Times New Roman" w:eastAsia="Times New Roman" w:hAnsi="Times New Roman" w:cs="Times New Roman"/>
          <w:sz w:val="24"/>
          <w:szCs w:val="26"/>
          <w:lang w:bidi="ru-RU"/>
        </w:rPr>
        <w:t>щих правил по конструкции МАКО.</w:t>
      </w:r>
    </w:p>
    <w:p w:rsidR="00376C42" w:rsidRPr="00645164" w:rsidRDefault="00376C42" w:rsidP="00C0663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BC2D54" w:rsidRPr="00645164" w:rsidRDefault="00C06630" w:rsidP="00C066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Осуществление документов ИМО </w:t>
      </w:r>
    </w:p>
    <w:p w:rsidR="00BC2D54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Типовое соглашение на предоставление полномочий ПО, действующих от имени Администраций</w:t>
      </w:r>
      <w:r w:rsidR="00B97AA1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102 сессия КБМ рассмотрела проект циркуляра MSC-MEPC.5 в отношении Типового соглашения на предоставление полномочий признанным организациям, действующим от имени Администрации, а также предложила уд</w:t>
      </w:r>
      <w:r w:rsidR="00B97AA1">
        <w:rPr>
          <w:rFonts w:ascii="Times New Roman" w:eastAsia="Times New Roman" w:hAnsi="Times New Roman" w:cs="Times New Roman"/>
          <w:sz w:val="24"/>
          <w:szCs w:val="26"/>
          <w:lang w:bidi="ru-RU"/>
        </w:rPr>
        <w:t>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лить или изменить пункт 6.5.5 проекта Типового соглашения. </w:t>
      </w:r>
    </w:p>
    <w:p w:rsidR="00BC2D54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Пункт 6.5.5 проекта Типового соглашения гласит: «.5 ПО должна как можно скорее проинформировать </w:t>
      </w:r>
      <w:r w:rsidR="005F6881">
        <w:rPr>
          <w:rFonts w:ascii="Times New Roman" w:eastAsia="Times New Roman" w:hAnsi="Times New Roman" w:cs="Times New Roman"/>
          <w:sz w:val="24"/>
          <w:szCs w:val="26"/>
          <w:lang w:bidi="ru-RU"/>
        </w:rPr>
        <w:t>Администрацию государства флага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о любых опасных происшествиях, аварийных случаях, поломках механизмов или конструкции, а также об известных им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неисправностях, имеющихся на судне;» Некоторые делегаты выразили мнение, что н</w:t>
      </w:r>
      <w:r w:rsidR="005F6881">
        <w:rPr>
          <w:rFonts w:ascii="Times New Roman" w:eastAsia="Times New Roman" w:hAnsi="Times New Roman" w:cs="Times New Roman"/>
          <w:sz w:val="24"/>
          <w:szCs w:val="26"/>
          <w:lang w:bidi="ru-RU"/>
        </w:rPr>
        <w:t>амерение сообщать о требованиях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рамках Кодекса о ПО в точности соответствует содержанию пунктов 6.4, 6.5.2 и 6.5.3 проекта Типового соглашения. </w:t>
      </w:r>
    </w:p>
    <w:p w:rsidR="00BC2D54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Одновременно с этим, термины «</w:t>
      </w:r>
      <w:r w:rsidR="00B002E2">
        <w:rPr>
          <w:rFonts w:ascii="Times New Roman" w:eastAsia="Times New Roman" w:hAnsi="Times New Roman" w:cs="Times New Roman"/>
          <w:sz w:val="24"/>
          <w:szCs w:val="26"/>
          <w:lang w:bidi="ru-RU"/>
        </w:rPr>
        <w:t>опасные происшествия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» и «аварийные ситуации» были признаны </w:t>
      </w:r>
      <w:r w:rsidR="00B97AA1">
        <w:rPr>
          <w:rFonts w:ascii="Times New Roman" w:eastAsia="Times New Roman" w:hAnsi="Times New Roman" w:cs="Times New Roman"/>
          <w:sz w:val="24"/>
          <w:szCs w:val="26"/>
          <w:lang w:bidi="ru-RU"/>
        </w:rPr>
        <w:t>нечеткими</w:t>
      </w:r>
      <w:r w:rsidR="00B97AA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и неопределенными. </w:t>
      </w:r>
    </w:p>
    <w:p w:rsidR="00BC2D54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Их использование в соглашении о предоставлении полномочий перекладывает последующую ответственность как на государства-члены ИМО, так и на ПО, и может привести к </w:t>
      </w:r>
      <w:r w:rsidR="00B97AA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не единообразному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глобальному применению вследствие различных интерпретаций терминов «</w:t>
      </w:r>
      <w:r w:rsidR="00B002E2">
        <w:rPr>
          <w:rFonts w:ascii="Times New Roman" w:eastAsia="Times New Roman" w:hAnsi="Times New Roman" w:cs="Times New Roman"/>
          <w:sz w:val="24"/>
          <w:szCs w:val="26"/>
          <w:lang w:bidi="ru-RU"/>
        </w:rPr>
        <w:t>опасные происшествия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» и «аварийные ситуации».</w:t>
      </w:r>
    </w:p>
    <w:p w:rsidR="00BC2D54" w:rsidRPr="00645164" w:rsidRDefault="00BC2D54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Некоторые делегаты выразили мнение, что текст Типового соглашения, предложенный на 6 сессии Подкомитета ИМО по осуществлению документов ИМО</w:t>
      </w:r>
      <w:r w:rsidR="00802FA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(</w:t>
      </w:r>
      <w:r w:rsidR="00802FA0">
        <w:rPr>
          <w:rFonts w:ascii="Times New Roman" w:eastAsia="Times New Roman" w:hAnsi="Times New Roman" w:cs="Times New Roman"/>
          <w:sz w:val="24"/>
          <w:szCs w:val="26"/>
          <w:lang w:val="en-US" w:bidi="ru-RU"/>
        </w:rPr>
        <w:t>III</w:t>
      </w:r>
      <w:r w:rsidR="00802FA0" w:rsidRP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6</w:t>
      </w:r>
      <w:r w:rsidR="00802FA0">
        <w:rPr>
          <w:rFonts w:ascii="Times New Roman" w:eastAsia="Times New Roman" w:hAnsi="Times New Roman" w:cs="Times New Roman"/>
          <w:sz w:val="24"/>
          <w:szCs w:val="26"/>
          <w:lang w:bidi="ru-RU"/>
        </w:rPr>
        <w:t>)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, должен быть одобрен на этой сессии, акцентируя внимание на важности отчетных процедур для Администраций флага для осуществления ими контроля за работой ПО, в особенности в ситуации, когда первые становятся чрезмерно зависимы от последних. </w:t>
      </w:r>
    </w:p>
    <w:p w:rsidR="00BC2D54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102 сессия КБМ дала указания 7 сессии Подкомитет</w:t>
      </w:r>
      <w:r w:rsidR="00802FA0">
        <w:rPr>
          <w:rFonts w:ascii="Times New Roman" w:eastAsia="Times New Roman" w:hAnsi="Times New Roman" w:cs="Times New Roman"/>
          <w:sz w:val="24"/>
          <w:szCs w:val="26"/>
          <w:lang w:bidi="ru-RU"/>
        </w:rPr>
        <w:t>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по осуществлению документов ИМО</w:t>
      </w:r>
      <w:r w:rsidR="00802FA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(</w:t>
      </w:r>
      <w:r w:rsidR="00802FA0">
        <w:rPr>
          <w:rFonts w:ascii="Times New Roman" w:eastAsia="Times New Roman" w:hAnsi="Times New Roman" w:cs="Times New Roman"/>
          <w:sz w:val="24"/>
          <w:szCs w:val="26"/>
          <w:lang w:val="en-US" w:bidi="ru-RU"/>
        </w:rPr>
        <w:t>III</w:t>
      </w:r>
      <w:r w:rsidR="00802FA0" w:rsidRP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7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) рассмотреть только текст пункта 6.5.5</w:t>
      </w:r>
      <w:r w:rsidR="00583520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Комитет по защите морской среды (КЗМС) будет проинформирован соответственно.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BC2D54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Перевозка грузов и контейнеров </w:t>
      </w:r>
    </w:p>
    <w:p w:rsidR="00BC2D54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одобрила: </w:t>
      </w:r>
    </w:p>
    <w:p w:rsidR="00BC2D54" w:rsidRPr="00645164" w:rsidRDefault="00BC2D54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</w:t>
      </w:r>
      <w:r w:rsidR="00583520">
        <w:rPr>
          <w:rFonts w:ascii="Times New Roman" w:eastAsia="Times New Roman" w:hAnsi="Times New Roman" w:cs="Times New Roman"/>
          <w:sz w:val="24"/>
          <w:szCs w:val="26"/>
          <w:lang w:bidi="ru-RU"/>
        </w:rPr>
        <w:t>Циркуляр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MSC.1/Circ.1622 в отношении Временного руководства по б</w:t>
      </w:r>
      <w:r w:rsidR="00BE2A09">
        <w:rPr>
          <w:rFonts w:ascii="Times New Roman" w:eastAsia="Times New Roman" w:hAnsi="Times New Roman" w:cs="Times New Roman"/>
          <w:sz w:val="24"/>
          <w:szCs w:val="26"/>
          <w:lang w:bidi="ru-RU"/>
        </w:rPr>
        <w:t>езопасности судов, использующих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метиловый/этиловый спирт в качестве топлива Основная концепция этого Временного руководства состоит в обеспечении положений по размещению, установке, управлению и мониторингу механизмов, оборудования и систем, использующих метиловый/этиловый спирт в качестве топлива. Это Временное руководство придерживается целевого подхода (MSC.1/Circ.1394/Rev.2), указывая цели и функциональные требования по каждому разделу, образующему основу проектирования, постройки и экс</w:t>
      </w:r>
      <w:r w:rsidR="0058352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плуатации судов, использующих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метиловый/этиловый спирт в качестве топлива. </w:t>
      </w:r>
    </w:p>
    <w:p w:rsidR="00BC2D54" w:rsidRPr="00645164" w:rsidRDefault="00BC2D54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MSC.1/Circ.1623 по Руководству по приемке альтернативных металлических материалов для эксплуатации в условиях низких и сверхнизких температур на судах, перевозящих сжиженные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газы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наливом и суда, использующие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газы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или другие виды топлива с низкой температурой вспышки Руководство предусматривает подробные инструкции по документальному оформлению альтернативных металлических материалов для их пригодности и соответствия требованиям Кодексов IGC и IGF, и процедура оценки и одобрения альтернативных металлических материалов для эксплуатации в условиях низких и сверхнизких температур. </w:t>
      </w:r>
    </w:p>
    <w:p w:rsidR="00BC2D54" w:rsidRPr="00645164" w:rsidRDefault="00BC2D54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MSC.1/Circ.1599/Rev.1 - Пересмотренное временное руководство по применению высокомарганцовистой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аустенитной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стали для эксплуатаци</w:t>
      </w:r>
      <w:r w:rsidR="007427C4">
        <w:rPr>
          <w:rFonts w:ascii="Times New Roman" w:eastAsia="Times New Roman" w:hAnsi="Times New Roman" w:cs="Times New Roman"/>
          <w:sz w:val="24"/>
          <w:szCs w:val="26"/>
          <w:lang w:bidi="ru-RU"/>
        </w:rPr>
        <w:t>и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условиях низких и сверхнизких температур (MSC.1/Circ.1599) и сопутствующего проекта циркуляра КБМ с учетом получения удовлетворительного результата усталостного испытания</w:t>
      </w:r>
      <w:r w:rsidR="00802FA0" w:rsidRP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Это Пересмотренное временное руководство предоставляет проектанту и изготовителю практическую информацию о конструкции и постройке грузовых и</w:t>
      </w:r>
      <w:r w:rsidR="009949F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топливных танков с применением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высокомарганцовистой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ау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>стенитной</w:t>
      </w:r>
      <w:proofErr w:type="spellEnd"/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стали для эксплуатации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условиях низких и сверхнизких температур, в соответствии с Условиями проектирования, изложенными в разделе 4.18 Кодекса IGC и разделе 6.4.12 Кодекса IGF. </w:t>
      </w:r>
    </w:p>
    <w:p w:rsidR="00BC2D54" w:rsidRPr="006300BF" w:rsidRDefault="00BC2D54" w:rsidP="00645164">
      <w:pPr>
        <w:pStyle w:val="a3"/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MSC.1/Circ.1624 в отношении поправок к Кодексу безопасной практики размещения и крепления груза (Кодексу CSS)</w:t>
      </w:r>
      <w:r w:rsidR="00BC2160" w:rsidRP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Внесены поправки </w:t>
      </w:r>
      <w:r w:rsidR="006300BF">
        <w:rPr>
          <w:rFonts w:ascii="Times New Roman" w:eastAsia="Times New Roman" w:hAnsi="Times New Roman" w:cs="Times New Roman"/>
          <w:sz w:val="24"/>
          <w:szCs w:val="26"/>
          <w:lang w:bidi="ru-RU"/>
        </w:rPr>
        <w:t>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Приложение 13 «Способы оценки эффективности средств крепления для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полустандартизированного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нестандартизированного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груза. Способы, описание которых приводится в этом приложении, должны применяться к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полустандартизированным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нестандартизированным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единицам груза</w:t>
      </w:r>
      <w:r w:rsidR="00B002E2">
        <w:rPr>
          <w:rFonts w:ascii="Times New Roman" w:eastAsia="Times New Roman" w:hAnsi="Times New Roman" w:cs="Times New Roman"/>
          <w:sz w:val="24"/>
          <w:szCs w:val="26"/>
          <w:lang w:bidi="ru-RU"/>
        </w:rPr>
        <w:t>, включая очень тяжелые и</w:t>
      </w:r>
      <w:r w:rsidR="00B002E2" w:rsidRPr="006300BF">
        <w:rPr>
          <w:rFonts w:ascii="Times New Roman" w:eastAsia="Times New Roman" w:hAnsi="Times New Roman" w:cs="Times New Roman"/>
          <w:sz w:val="24"/>
          <w:szCs w:val="26"/>
          <w:lang w:bidi="ru-RU"/>
        </w:rPr>
        <w:t>/или значительные по размеру единицы груза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. </w:t>
      </w:r>
      <w:r w:rsidR="00B002E2">
        <w:rPr>
          <w:rFonts w:ascii="Times New Roman" w:eastAsia="Times New Roman" w:hAnsi="Times New Roman" w:cs="Times New Roman"/>
          <w:sz w:val="24"/>
          <w:szCs w:val="26"/>
          <w:lang w:bidi="ru-RU"/>
        </w:rPr>
        <w:t>Ис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ключены стандартизированные системы крепления и хранения грузов, в частности, контейнеров на контейнерных судах. </w:t>
      </w:r>
    </w:p>
    <w:p w:rsidR="00BC2D54" w:rsidRPr="00645164" w:rsidRDefault="00BC2D54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MSC.1/Circ.1353/Rev.2 - Пересмотренное руководство по подготовке Руководства </w:t>
      </w:r>
      <w:r w:rsidR="00A33EE8">
        <w:rPr>
          <w:rFonts w:ascii="Times New Roman" w:eastAsia="Times New Roman" w:hAnsi="Times New Roman" w:cs="Times New Roman"/>
          <w:sz w:val="24"/>
          <w:szCs w:val="26"/>
          <w:lang w:bidi="ru-RU"/>
        </w:rPr>
        <w:t>п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о креплению груза (MSC.1/Circ.1353/Rev.1) 102 сессия КБМ согласилась внести поправки в циркуляр MSC.1/Circ.1353/Rev.1 одновременно с поправками в Кодекс CSS. Это пересмотренное руководство основано на положениях, содержащихся в приложении к циркуляру MSC/Circ.745,</w:t>
      </w:r>
      <w:r w:rsidR="007D6545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дополненном информацией о безопасном доступе для крепления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 xml:space="preserve">контейнеров с учетом положений Кодекса CSS, с поправками. Поправки имеют общий характер и предназначены для информации по подготовке таких Руководств по креплению груза, которые требуются на всех типах судов, занятых в перевозке грузов, иных чем твердые и жидкие грузы насыпью. </w:t>
      </w:r>
    </w:p>
    <w:p w:rsidR="001E53FB" w:rsidRPr="00645164" w:rsidRDefault="00BC2D54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Резолюция MSC 479(102) – Пересмотренное Руководство по крепежным приспособления при транспортировке транспортных средств на судах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(A.581(14), с поправками) </w:t>
      </w:r>
    </w:p>
    <w:p w:rsidR="00D22DD0" w:rsidRPr="00645164" w:rsidRDefault="001E53FB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MSC.1/Circ.1625 - Поправки к Кодексу безопасной практики для судов, перевозящих лесной палубный груз, 2011 (Кодекс TDC 2011) </w:t>
      </w:r>
    </w:p>
    <w:p w:rsidR="009A75EC" w:rsidRPr="00645164" w:rsidRDefault="00D22DD0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MSC.1/Circ.1626 - Циркуляр по унифицирован</w:t>
      </w:r>
      <w:r w:rsidR="007D6545">
        <w:rPr>
          <w:rFonts w:ascii="Times New Roman" w:eastAsia="Times New Roman" w:hAnsi="Times New Roman" w:cs="Times New Roman"/>
          <w:sz w:val="24"/>
          <w:szCs w:val="26"/>
          <w:lang w:bidi="ru-RU"/>
        </w:rPr>
        <w:t>ным интерпретациям Кодекса IGC</w:t>
      </w:r>
    </w:p>
    <w:p w:rsidR="00F91D1B" w:rsidRPr="00645164" w:rsidRDefault="009A75EC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MSC.1/Circ.1627 - Унифицированные интерпретации Кодекса IMDG «Спасательные средства (пункт 7.1.4.4.2) Термин «спасательные средства» означает судовые спасательные шлюпки, спасательные плоты и дежурная</w:t>
      </w:r>
      <w:r w:rsidR="007D6545">
        <w:rPr>
          <w:rFonts w:ascii="Times New Roman" w:eastAsia="Times New Roman" w:hAnsi="Times New Roman" w:cs="Times New Roman"/>
          <w:sz w:val="24"/>
          <w:szCs w:val="26"/>
          <w:lang w:bidi="ru-RU"/>
        </w:rPr>
        <w:t>(</w:t>
      </w:r>
      <w:proofErr w:type="spellStart"/>
      <w:r w:rsidR="007D6545">
        <w:rPr>
          <w:rFonts w:ascii="Times New Roman" w:eastAsia="Times New Roman" w:hAnsi="Times New Roman" w:cs="Times New Roman"/>
          <w:sz w:val="24"/>
          <w:szCs w:val="26"/>
          <w:lang w:bidi="ru-RU"/>
        </w:rPr>
        <w:t>ые</w:t>
      </w:r>
      <w:proofErr w:type="spellEnd"/>
      <w:r w:rsidR="007D6545">
        <w:rPr>
          <w:rFonts w:ascii="Times New Roman" w:eastAsia="Times New Roman" w:hAnsi="Times New Roman" w:cs="Times New Roman"/>
          <w:sz w:val="24"/>
          <w:szCs w:val="26"/>
          <w:lang w:bidi="ru-RU"/>
        </w:rPr>
        <w:t>)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шлюпка(и) в соответствии с правилами III/21 или III/31.1 Конвенции СОЛАС и не означают другие спасательные средства, такие как спасательные буи, дополнительные спасательные плоты в соответствии с правилами III/31.3.2 и III/31.1.4 Конвенции СОЛАС, а также спасательные жилеты и гидрокостюмы, относящиеся к таким спасательным плотам.»</w:t>
      </w:r>
    </w:p>
    <w:p w:rsidR="00376C42" w:rsidRPr="00645164" w:rsidRDefault="00376C42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F91D1B" w:rsidRPr="00645164" w:rsidRDefault="00C06630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Пересмотренные пояснительные </w:t>
      </w:r>
      <w:r w:rsidR="00BC2160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записки</w:t>
      </w:r>
      <w:r w:rsidR="00BC2160"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 правилам по делению на отсеки и остойчивости в поврежденном состоян</w:t>
      </w:r>
      <w:r w:rsidR="00A02940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ии главы II-1 Конвенции СОЛАС </w:t>
      </w:r>
    </w:p>
    <w:p w:rsidR="00F91D1B" w:rsidRPr="00645164" w:rsidRDefault="00C06630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резолюцией MSC.429(98)/Rev.2 приняла Пересмотренные пояснительные </w:t>
      </w:r>
      <w:r w:rsidR="00BC2160">
        <w:rPr>
          <w:rFonts w:ascii="Times New Roman" w:eastAsia="Times New Roman" w:hAnsi="Times New Roman" w:cs="Times New Roman"/>
          <w:sz w:val="24"/>
          <w:szCs w:val="26"/>
          <w:lang w:bidi="ru-RU"/>
        </w:rPr>
        <w:t>записки</w:t>
      </w:r>
      <w:r w:rsidR="00BC2160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 главе II-1 Конвенции СОЛАС в отношении деления на отсеки и остойчивости в поврежденном состоянии (Пересмотренные пояснительные </w:t>
      </w:r>
      <w:r w:rsidR="00BC2160">
        <w:rPr>
          <w:rFonts w:ascii="Times New Roman" w:eastAsia="Times New Roman" w:hAnsi="Times New Roman" w:cs="Times New Roman"/>
          <w:sz w:val="24"/>
          <w:szCs w:val="26"/>
          <w:lang w:bidi="ru-RU"/>
        </w:rPr>
        <w:t>записки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) в соответствии с проектом, представленным 7 сессией Подкомитета ИМО по предупреждению загрязнения и реагированию</w:t>
      </w:r>
      <w:r w:rsid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BC2160">
        <w:rPr>
          <w:rFonts w:ascii="Times New Roman" w:eastAsia="Times New Roman" w:hAnsi="Times New Roman" w:cs="Times New Roman"/>
          <w:sz w:val="24"/>
          <w:szCs w:val="26"/>
          <w:lang w:bidi="ru-RU"/>
        </w:rPr>
        <w:t>(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PPR</w:t>
      </w:r>
      <w:r w:rsidR="00BC216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7)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. </w:t>
      </w:r>
    </w:p>
    <w:p w:rsidR="00F91D1B" w:rsidRPr="00645164" w:rsidRDefault="004A5B88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Она </w:t>
      </w:r>
      <w:r w:rsidR="00C06630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согласовала незначительные поправки к Пояснительным </w:t>
      </w:r>
      <w:r w:rsidR="00BC216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запискам</w:t>
      </w:r>
      <w:r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, внесенным в правила </w:t>
      </w:r>
      <w:r w:rsidR="00C06630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II-1/17.1 и II- 1/17.2 в отношении стандартов пожарной безопасности, добавив ссылки на таблицу 9.3 и правило II-2/9.2.2.1.1.2 по пассажирским судам, перевозящим менее 36 пассажиров</w:t>
      </w:r>
      <w:r w:rsidR="00A02940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r w:rsidR="00C06630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</w:p>
    <w:p w:rsidR="00F91D1B" w:rsidRPr="00645164" w:rsidRDefault="00C06630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Поправки вступают в силу 1 января 2024 г. для судов, указанных в правиле II-1/1.1.1 Конвенции СОЛАС. 102 сессия КБМ также приняла, резолюцией MSC.429(98)/Rev.1, последующие поправки к Пересмотренным пояснительным </w:t>
      </w:r>
      <w:r w:rsidR="00BC2160">
        <w:rPr>
          <w:rFonts w:ascii="Times New Roman" w:eastAsia="Times New Roman" w:hAnsi="Times New Roman" w:cs="Times New Roman"/>
          <w:sz w:val="24"/>
          <w:szCs w:val="26"/>
          <w:lang w:bidi="ru-RU"/>
        </w:rPr>
        <w:t>запискам</w:t>
      </w:r>
      <w:r w:rsidR="00BC2160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 главе II-1 Конвенции СОЛАС в отношении правил деления на отсеки и остойчивости в поврежденном состоянии. </w:t>
      </w:r>
    </w:p>
    <w:p w:rsidR="00F91D1B" w:rsidRPr="00645164" w:rsidRDefault="00C06630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Сессия ссылается на пункт 4 Пояснительных </w:t>
      </w:r>
      <w:r w:rsidR="00BC216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записок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к правилу II-1/17.1 Конвенции СОЛАС, применимому к судам, определение которых приведено в правиле II-1/1.1.1 СОЛАС,</w:t>
      </w:r>
      <w:r w:rsidR="001B469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принятом резолюцией MSC.421(98), т.е. к судам, построенным или поставленным в формате трех дат (контракт на постройку которых размещен 1 января 2020 г. или после этой даты; киль которых заложен или которые находились на аналогичной стадии постройки 1 июля 2020 г. или после этой даты; или поставка которых осуществлена 1 января 2024 г. или после этой даты). </w:t>
      </w:r>
    </w:p>
    <w:p w:rsidR="00376C42" w:rsidRPr="00645164" w:rsidRDefault="00376C42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F91D1B" w:rsidRPr="00645164" w:rsidRDefault="00C06630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Поправки к унифицированным интерпретациям глав II-1 и XII Конвенции СОЛАС </w:t>
      </w:r>
    </w:p>
    <w:p w:rsidR="00A438D9" w:rsidRPr="00645164" w:rsidRDefault="00C06630" w:rsidP="00645164">
      <w:pPr>
        <w:pStyle w:val="a3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102 сессия КБМ о</w:t>
      </w:r>
      <w:r w:rsidR="004A5B88">
        <w:rPr>
          <w:rFonts w:ascii="Times New Roman" w:eastAsia="Times New Roman" w:hAnsi="Times New Roman" w:cs="Times New Roman"/>
          <w:sz w:val="24"/>
          <w:szCs w:val="26"/>
          <w:lang w:bidi="ru-RU"/>
        </w:rPr>
        <w:t>добрила резолюцию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MSC.1/Circ.1</w:t>
      </w:r>
      <w:r w:rsidR="002B3E6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572/Rev.1, вносящую поправки в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раздел 3 Унифицированных интерпретаций глав II-1 и XII Конвенции СОЛАС, технические положения в отношении средств доступа для проведения осмотров (MSC.158(78)) и Эксплуатационных стандартов для указателей уровня воды на навалочных судах и грузовых судах с одним трюмом, не являющихся навалочными судами (MSC.188(79)).</w:t>
      </w:r>
    </w:p>
    <w:p w:rsidR="00376C42" w:rsidRPr="00645164" w:rsidRDefault="00C06630" w:rsidP="00645164">
      <w:pPr>
        <w:pStyle w:val="a3"/>
        <w:spacing w:line="204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</w:p>
    <w:p w:rsidR="00FB0CA0" w:rsidRPr="00645164" w:rsidRDefault="00C06630" w:rsidP="00645164">
      <w:pPr>
        <w:pStyle w:val="a3"/>
        <w:spacing w:line="204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Завершение разработки критериев остойчивости </w:t>
      </w:r>
      <w:r w:rsidR="00091DE6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второго поколения</w:t>
      </w:r>
      <w:r w:rsidR="00714C02" w:rsidRPr="00714C02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</w:t>
      </w:r>
      <w:r w:rsidR="00714C02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для </w:t>
      </w:r>
      <w:r w:rsidR="00714C02"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неповрежд</w:t>
      </w:r>
      <w:r w:rsidR="00714C02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енного судна</w:t>
      </w:r>
    </w:p>
    <w:p w:rsidR="004C1B83" w:rsidRPr="00645164" w:rsidRDefault="00C06630" w:rsidP="00645164">
      <w:pPr>
        <w:pStyle w:val="a3"/>
        <w:spacing w:line="204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</w:t>
      </w:r>
      <w:r w:rsidR="002B3E6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2 сессия КБМ одобрила циркуляр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MSC.1/Circ.1628 в отношении Временного руководства по критериям остойчивости второго поколения</w:t>
      </w:r>
      <w:r w:rsidR="00714C02" w:rsidRPr="00714C02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714C02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для </w:t>
      </w:r>
      <w:r w:rsidR="00714C02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неповрежденного судна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. Он основан на эксплуатационных критериях явления динамической остойчивости при волнении, которые должны быть разработаны и внедрены для обеспечения единообразного международного уровня безопасности в соответствии с указаниями части A, раздела 1.2 Международного кодекса остойчивости неповрежденного судна, 2008 (MSC.267(85), с поправками). </w:t>
      </w:r>
    </w:p>
    <w:p w:rsidR="00376C42" w:rsidRPr="00645164" w:rsidRDefault="00376C42" w:rsidP="00BC2D5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4C1B83" w:rsidRPr="00645164" w:rsidRDefault="00C06630" w:rsidP="00BC2D5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Стандарты безопасности по перевозке производственного персонала (IP) </w:t>
      </w:r>
    </w:p>
    <w:p w:rsidR="00B95990" w:rsidRPr="00645164" w:rsidRDefault="00C06630" w:rsidP="006B61DB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рассмотрела применение проекта главы XV Конвенции СОЛАС (Меры безопасности по перевозке производственного персонала) на существующих судах,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 xml:space="preserve">сертифицированных в соответствии с Временными рекомендациями по безопасной перевозке более 12 человек </w:t>
      </w:r>
      <w:r w:rsidR="00714C02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производственного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персонала на судах, совершающих международные рейсы (Временны</w:t>
      </w:r>
      <w:r w:rsidR="001474C6">
        <w:rPr>
          <w:rFonts w:ascii="Times New Roman" w:eastAsia="Times New Roman" w:hAnsi="Times New Roman" w:cs="Times New Roman"/>
          <w:sz w:val="24"/>
          <w:szCs w:val="26"/>
          <w:lang w:bidi="ru-RU"/>
        </w:rPr>
        <w:t>е рекомендации) (MSC.418(97)).</w:t>
      </w:r>
    </w:p>
    <w:p w:rsidR="00B95990" w:rsidRPr="00645164" w:rsidRDefault="00C06630" w:rsidP="00BC2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Некоторые суда, перевозящие производственный персонал в ходе международных рейсов в соответствии с Временными рекомендациями могут не соответствовать требованиям нового Кодекса IP. </w:t>
      </w:r>
    </w:p>
    <w:p w:rsidR="00B95990" w:rsidRPr="00645164" w:rsidRDefault="00C06630" w:rsidP="00BC2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Однако, некоторые делегации предложили разработать освобождение от соблюдения новых положений, изъятия и равноценные замены с тем, чтобы существующим судам могло быть и далее разрешено Администрацией продолжить перевозку производственного персонала в соответствии с Временными рекомендациями или иными стандартами при условии, что они соответствуют аналогичному уровню безопасности, </w:t>
      </w:r>
      <w:r w:rsidR="001474C6">
        <w:rPr>
          <w:rFonts w:ascii="Times New Roman" w:eastAsia="Times New Roman" w:hAnsi="Times New Roman" w:cs="Times New Roman"/>
          <w:sz w:val="24"/>
          <w:szCs w:val="26"/>
          <w:lang w:bidi="ru-RU"/>
        </w:rPr>
        <w:t>приемлемому для Администрации.</w:t>
      </w:r>
    </w:p>
    <w:p w:rsidR="00B95990" w:rsidRPr="001474C6" w:rsidRDefault="00C06630" w:rsidP="001474C6">
      <w:pPr>
        <w:pStyle w:val="a3"/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пришла к выводу, что при вступлении в силу Кодекса IP существующие суда, сертифицированные в соответствии с Временными рекомендациями (MSC.418(97)), должны иметь разрешение на эксплуатацию при условии, что они отвечают некоторым требованиям к эксплуатации и оборудованию в новом Кодексе IP, </w:t>
      </w:r>
      <w:r w:rsidR="003363B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который может </w:t>
      </w:r>
      <w:r w:rsidR="001474C6">
        <w:rPr>
          <w:rFonts w:ascii="Times New Roman" w:eastAsia="Times New Roman" w:hAnsi="Times New Roman" w:cs="Times New Roman"/>
          <w:sz w:val="24"/>
          <w:szCs w:val="26"/>
          <w:lang w:bidi="ru-RU"/>
        </w:rPr>
        <w:t>включ</w:t>
      </w:r>
      <w:r w:rsidR="003363B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ать </w:t>
      </w:r>
      <w:r w:rsidR="001474C6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переходный период.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КБМ 10</w:t>
      </w:r>
      <w:r w:rsidR="00091DE6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2 дал указания 8 сессии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Подкомитета ИМО по проектированию и конструкции судна</w:t>
      </w:r>
      <w:r w:rsidR="003363B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(</w:t>
      </w:r>
      <w:r w:rsidR="003363BD">
        <w:rPr>
          <w:rFonts w:ascii="Times New Roman" w:eastAsia="Times New Roman" w:hAnsi="Times New Roman" w:cs="Times New Roman"/>
          <w:sz w:val="24"/>
          <w:szCs w:val="26"/>
          <w:lang w:val="en-US" w:bidi="ru-RU"/>
        </w:rPr>
        <w:t>SDC</w:t>
      </w:r>
      <w:r w:rsidR="003363BD" w:rsidRP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8</w:t>
      </w:r>
      <w:r w:rsidR="003363BD">
        <w:rPr>
          <w:rFonts w:ascii="Times New Roman" w:eastAsia="Times New Roman" w:hAnsi="Times New Roman" w:cs="Times New Roman"/>
          <w:sz w:val="24"/>
          <w:szCs w:val="26"/>
          <w:lang w:bidi="ru-RU"/>
        </w:rPr>
        <w:t>)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о разработке </w:t>
      </w:r>
      <w:r w:rsidR="00AD622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необходимых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положений, освобождающих от соблюдения новых требований для существующих судов, сертифицированных в соответствии с Временными рекомендациями. </w:t>
      </w:r>
    </w:p>
    <w:p w:rsidR="00B95990" w:rsidRPr="00645164" w:rsidRDefault="00091DE6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  <w:lang w:bidi="ru-RU"/>
        </w:rPr>
        <w:t>Двух</w:t>
      </w:r>
      <w:r w:rsidR="00C06630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этапный подход к разработке Кодекса IP</w:t>
      </w:r>
      <w:r w:rsidR="00AD6224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r w:rsidR="00C06630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отношении разработки положений по высокоскоростным судам, перевозящим производственный персонал, 102 с</w:t>
      </w:r>
      <w:r w:rsidR="002B36B4">
        <w:rPr>
          <w:rFonts w:ascii="Times New Roman" w:eastAsia="Times New Roman" w:hAnsi="Times New Roman" w:cs="Times New Roman"/>
          <w:sz w:val="24"/>
          <w:szCs w:val="26"/>
          <w:lang w:bidi="ru-RU"/>
        </w:rPr>
        <w:t>ессия КБМ решила применить двух</w:t>
      </w:r>
      <w:r w:rsidR="00C06630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этапный подход. 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 случае, если соответствующие положения не будут закончены </w:t>
      </w:r>
      <w:r w:rsidR="00AD6224">
        <w:rPr>
          <w:rFonts w:ascii="Times New Roman" w:eastAsia="Times New Roman" w:hAnsi="Times New Roman" w:cs="Times New Roman"/>
          <w:sz w:val="24"/>
          <w:szCs w:val="26"/>
          <w:lang w:bidi="ru-RU"/>
        </w:rPr>
        <w:t>вовремя  для их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вступления в силу 1 января 2024 г., проект новой главы XV Конвенции СОЛАС и проект Кодекса IP должны быть завершены на 8 сессии Подкомитета ИМО по проектированию и конструкции судна</w:t>
      </w:r>
      <w:r w:rsidR="00AD622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(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SDC</w:t>
      </w:r>
      <w:r w:rsidR="00AD622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8)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отношении судов, сертифицированных в соответствии с главой I Конвенции СОЛАС, а второй этап будет посвящен разработке положений к </w:t>
      </w:r>
      <w:r w:rsidR="00AD622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высокоскоростным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судам, сертифицированным в соответствии с главой Х Конвенции СОЛАС.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B95990" w:rsidRPr="00645164" w:rsidRDefault="00AD6224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Датчики</w:t>
      </w: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</w:t>
      </w:r>
      <w:r w:rsidR="00C06630"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уровня воды на грузовых судах с несколькими трюмами, не являющихся навалочными судами 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рассмотрела проект нового правила II-1/25-1 Конвенции СОЛАС, требующего наличия </w:t>
      </w:r>
      <w:r w:rsidR="00AD6224">
        <w:rPr>
          <w:rFonts w:ascii="Times New Roman" w:eastAsia="Times New Roman" w:hAnsi="Times New Roman" w:cs="Times New Roman"/>
          <w:sz w:val="24"/>
          <w:szCs w:val="26"/>
          <w:lang w:bidi="ru-RU"/>
        </w:rPr>
        <w:t>датчиков</w:t>
      </w:r>
      <w:r w:rsidR="00AD6224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уровня воды на навалочных судах и грузовых судах с несколькими трюмами, не являющихся навалочными судами и нефтеналивными судами, предложив добавить новое положение, разрешающее использовать датчики уровня воды в трюме как альтернативу указателям уровня воды в качестве равноценного устройства. 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приняла это предложение и одобрила проект нового правила II-1/25-1 Конвенции СОЛАС с целью последующего принятия на 103 сессии КБМ.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Поправки к Кодексу ESP 2011 г. 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 проект поправок к Кодексу ESP 2011 г. с целью последующего принятия на 103 сессии КБМ. 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Обязательные требования в отношении водонепроницаемых дверей на грузовых судах</w:t>
      </w:r>
      <w:r w:rsidR="009B68AC" w:rsidRP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102 сессия КБМ одобрила проект поправок к следующим инструментам с целью последующего принятия на 103 сессии КБМ для вступления в силу 1 января 2024 г. 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 проект поправок к Протоколу о грузовой марке 1988 г. в отношении водонепроницаемых дверей на грузовых судах. 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102 сессия КБМ одобрила проект поправок к Кодексу IBC с учетом последующего одобрения на 76 сессии Комитета ИМО по защите морской среды (КЗМС).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102 сессия КБМ одобрила проект поправок к Кодексу</w:t>
      </w: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IGC.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Поправки к Руководству по безопасному доступу на носовую часть танкеров </w:t>
      </w: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 резолюцию MSC.62(67)/Rev.1 - Руководство по безопасному доступу на носовую часть танкеров (резолюция MSC.62(67)). </w:t>
      </w:r>
    </w:p>
    <w:p w:rsidR="001B57EE" w:rsidRDefault="001B57EE" w:rsidP="00645164">
      <w:pPr>
        <w:pStyle w:val="a3"/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bidi="ru-RU"/>
        </w:rPr>
      </w:pPr>
    </w:p>
    <w:p w:rsidR="00B95990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102 сессия КБМ согласилась, что должно быть разработано Руководство по безопасности для прогулочных яхт валовой вместимостью 300 и выше, но менее 500, занятых в торговле (т.е. коммерческих яхт) и грузовых судов валовой вместимостью 300 и выше, но менее 500, эксплуатирую</w:t>
      </w:r>
      <w:r w:rsidR="005B36C4">
        <w:rPr>
          <w:rFonts w:ascii="Times New Roman" w:eastAsia="Times New Roman" w:hAnsi="Times New Roman" w:cs="Times New Roman"/>
          <w:sz w:val="24"/>
          <w:szCs w:val="26"/>
          <w:lang w:bidi="ru-RU"/>
        </w:rPr>
        <w:t>щихся в полярных водах.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A7718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Предотвращение загрязнения и реагирование </w:t>
      </w: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одобрила, с целью последующего одобрения на 75 сессии КЗМС, пересмотренный циркуляр MSC-MEPC.5/Circ.7 в отношении Руководства по своевременной замене существующих свидетельств пересмотренными свидетельствами как следствие вступления в силу поправок к главам 17 и 18 Кодекса IBC. </w:t>
      </w: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102 сес</w:t>
      </w:r>
      <w:r w:rsidR="005B36C4">
        <w:rPr>
          <w:rFonts w:ascii="Times New Roman" w:eastAsia="Times New Roman" w:hAnsi="Times New Roman" w:cs="Times New Roman"/>
          <w:sz w:val="24"/>
          <w:szCs w:val="26"/>
          <w:lang w:bidi="ru-RU"/>
        </w:rPr>
        <w:t>сия КБМ также одобрила циркуляр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PPR.1/Circ.9 в отношении Пересмотренных требований к перевозке метил акрилата и метил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метакрилата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Проект поправок к Циркуляру MSC.1/Circ.1430/Rev.1 </w:t>
      </w: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 MSC.1/Circ.1430/Rev.2 в отношении Пересмотренного руководства по проектированию и одобрению стационарных систем водяного пожаротушения помещений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помещений специальной катего</w:t>
      </w:r>
      <w:r w:rsidR="00112E66">
        <w:rPr>
          <w:rFonts w:ascii="Times New Roman" w:eastAsia="Times New Roman" w:hAnsi="Times New Roman" w:cs="Times New Roman"/>
          <w:sz w:val="24"/>
          <w:szCs w:val="26"/>
          <w:lang w:bidi="ru-RU"/>
        </w:rPr>
        <w:t>рии.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Проект поправок к Кодексу FSS </w:t>
      </w: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 проект поправок к главе 9 Кодекса FSS с целью последующего принятия на 103. сессии КБМ. </w:t>
      </w:r>
    </w:p>
    <w:p w:rsidR="009B68AC" w:rsidRDefault="009B68AC" w:rsidP="00645164">
      <w:pPr>
        <w:pStyle w:val="a3"/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</w:pP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Судовое грузоподъемное оборудование и лебедки для заводки якор</w:t>
      </w:r>
      <w:r w:rsidR="009B68AC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ей</w:t>
      </w: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- Проект поправок к главе II-I Конвенц</w:t>
      </w:r>
      <w:r w:rsidR="00112E66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ии СОЛАС</w:t>
      </w: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 проект поправок к главе II-I Конвенции СОЛАС с целью последующего принятия на следующей сессии Комитета. Проект одобрен одновременно со связанным с ним проектом Руководства по грузоподъемному оборудованию и проектом Руководства по лебедкам для заводки якоря с целью окончательного одобрения совместно с принятием проекта соответствующих поправок к главе II-1 Конвенции СОЛАС.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Пересмотренная стандартизированная оценка спасательных средств и формы отчета об испытаниях </w:t>
      </w: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одобрила: </w:t>
      </w:r>
    </w:p>
    <w:p w:rsidR="008A3CEB" w:rsidRPr="00645164" w:rsidRDefault="008A3CEB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MSC.1/Circ.1629 по Пересмотренной стандартизированной оценке спасательных средств и формам отчета об испытаниях (индивидуальных спасательных средств); </w:t>
      </w:r>
    </w:p>
    <w:p w:rsidR="008A3CEB" w:rsidRPr="00645164" w:rsidRDefault="008A3CEB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MSC.1/Circ.1630 по Пересмотренной стандартизированной оценке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(знаки визуальной информации); </w:t>
      </w:r>
    </w:p>
    <w:p w:rsidR="008A3CEB" w:rsidRPr="00645164" w:rsidRDefault="008A3CEB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- Циркуляр MSC.1/Circ.1631 по Пересмотренной стандартизированной оценке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(спасательные суда); </w:t>
      </w:r>
    </w:p>
    <w:p w:rsidR="008A3CEB" w:rsidRPr="00645164" w:rsidRDefault="008A3CEB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MSC.1/Circ.1632 по Пересмотренной стандартизированной оценке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(дежурные шлюпки); </w:t>
      </w:r>
    </w:p>
    <w:p w:rsidR="008A3CEB" w:rsidRPr="00645164" w:rsidRDefault="008A3CEB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MSC.1/Circ.1633 по Пересмотренной стандартизированной оценке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(спусковые и посадочные устройства); </w:t>
      </w:r>
    </w:p>
    <w:p w:rsidR="008A3CEB" w:rsidRPr="00645164" w:rsidRDefault="008A3CEB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</w:t>
      </w:r>
      <w:r w:rsidR="00112E66">
        <w:rPr>
          <w:rFonts w:ascii="Times New Roman" w:eastAsia="Times New Roman" w:hAnsi="Times New Roman" w:cs="Times New Roman"/>
          <w:sz w:val="24"/>
          <w:szCs w:val="26"/>
          <w:lang w:bidi="ru-RU"/>
        </w:rPr>
        <w:t>Ц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иркуляр MSC.1/Circ.1634 по Пересмотренной стандартизированной оценке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(другие спасательные средства).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A3CEB" w:rsidRPr="00645164" w:rsidRDefault="00C06630" w:rsidP="00BC2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Испытания </w:t>
      </w:r>
      <w:r w:rsidR="00B25D3E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сбрасыванием </w:t>
      </w: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свободнопадающих спасательных шлюпок </w:t>
      </w:r>
      <w:r w:rsidR="00B25D3E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при движении судна вперед со</w:t>
      </w:r>
      <w:r w:rsidR="00C0384F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скоростью 5 узлов</w:t>
      </w:r>
      <w:r w:rsidR="00B25D3E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 </w:t>
      </w:r>
    </w:p>
    <w:p w:rsidR="008A3CEB" w:rsidRPr="00645164" w:rsidRDefault="00C06630" w:rsidP="00BC2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 проект поправок к правилу III/33 Конвенции СОЛАС </w:t>
      </w:r>
      <w:r w:rsidR="00B25D3E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исключающих </w:t>
      </w:r>
      <w:r w:rsidR="00BF21E7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необходимость </w:t>
      </w:r>
      <w:r w:rsidR="00B25D3E">
        <w:rPr>
          <w:rFonts w:ascii="Times New Roman" w:eastAsia="Times New Roman" w:hAnsi="Times New Roman" w:cs="Times New Roman"/>
          <w:sz w:val="24"/>
          <w:szCs w:val="26"/>
          <w:lang w:bidi="ru-RU"/>
        </w:rPr>
        <w:t>проведени</w:t>
      </w:r>
      <w:r w:rsidR="00BF21E7">
        <w:rPr>
          <w:rFonts w:ascii="Times New Roman" w:eastAsia="Times New Roman" w:hAnsi="Times New Roman" w:cs="Times New Roman"/>
          <w:sz w:val="24"/>
          <w:szCs w:val="26"/>
          <w:lang w:bidi="ru-RU"/>
        </w:rPr>
        <w:t>я</w:t>
      </w:r>
      <w:r w:rsidR="00B25D3E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испытаний сбрасыванием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свободнопадающих спасательных шлюпок </w:t>
      </w:r>
      <w:r w:rsidR="00B25D3E">
        <w:rPr>
          <w:rFonts w:ascii="Times New Roman" w:eastAsia="Times New Roman" w:hAnsi="Times New Roman" w:cs="Times New Roman"/>
          <w:sz w:val="24"/>
          <w:szCs w:val="26"/>
          <w:lang w:bidi="ru-RU"/>
        </w:rPr>
        <w:t>при движении судна вперед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со скоростью 5 узлов на спокойной воде на грузовых судах 20 000 и выше. </w:t>
      </w:r>
    </w:p>
    <w:p w:rsidR="00645164" w:rsidRDefault="00645164">
      <w:pPr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6"/>
          <w:lang w:bidi="ru-RU"/>
        </w:rPr>
        <w:br w:type="page"/>
      </w: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 xml:space="preserve">102 сессия КБМ также одобрила проект поправок к пункту 4.4.1.3 Кодекса LSA в отношении испытаний </w:t>
      </w:r>
      <w:r w:rsidR="00B25D3E">
        <w:rPr>
          <w:rFonts w:ascii="Times New Roman" w:eastAsia="Times New Roman" w:hAnsi="Times New Roman" w:cs="Times New Roman"/>
          <w:sz w:val="24"/>
          <w:szCs w:val="26"/>
          <w:lang w:bidi="ru-RU"/>
        </w:rPr>
        <w:t>сбрасыванием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свободнопадающих спасательных шлюпок </w:t>
      </w:r>
      <w:r w:rsidR="00B25D3E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при движении судна вперед </w:t>
      </w:r>
      <w:r w:rsidR="00C0384F">
        <w:rPr>
          <w:rFonts w:ascii="Times New Roman" w:eastAsia="Times New Roman" w:hAnsi="Times New Roman" w:cs="Times New Roman"/>
          <w:sz w:val="24"/>
          <w:szCs w:val="26"/>
          <w:lang w:bidi="ru-RU"/>
        </w:rPr>
        <w:t>со скоростью 5 узлов.</w:t>
      </w: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Эти поправки должны быть приняты на 103 сессии КБМ. Одновременно с этим 102 сессия КБМ в целом одобрила проект поправок к Пересмотренной рекомендации по испытаниям спасательных средств (MSC.81(70)) и связанным с ней проектом резолюции КБМ с целью последующего принятия на 103 сессии КБМ одновременно с соответствующими поправками к главе III Конвенции СОЛАС и Кодексу LSA.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8A3CEB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Унифицированные интерпретации главы II-2 Конвенции СОЛАС </w:t>
      </w:r>
    </w:p>
    <w:p w:rsidR="005B7409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102 сессия КБМ одобрила циркуляр MSC.1/Circ.1635 по Унифицированным интерпретациям главы II-2 МК СОЛАС в отношении интерпретации правила II-2/9 («</w:t>
      </w:r>
      <w:r w:rsidR="003A447D">
        <w:rPr>
          <w:rFonts w:ascii="Times New Roman" w:eastAsia="Times New Roman" w:hAnsi="Times New Roman" w:cs="Times New Roman"/>
          <w:sz w:val="24"/>
          <w:szCs w:val="26"/>
          <w:lang w:bidi="ru-RU"/>
        </w:rPr>
        <w:t>Локализация</w:t>
      </w:r>
      <w:r w:rsidR="003A447D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пожара, тепло</w:t>
      </w:r>
      <w:r w:rsidR="003A447D">
        <w:rPr>
          <w:rFonts w:ascii="Times New Roman" w:eastAsia="Times New Roman" w:hAnsi="Times New Roman" w:cs="Times New Roman"/>
          <w:sz w:val="24"/>
          <w:szCs w:val="26"/>
          <w:lang w:bidi="ru-RU"/>
        </w:rPr>
        <w:t>изолированн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ые и конструк</w:t>
      </w:r>
      <w:r w:rsidR="00CD1194">
        <w:rPr>
          <w:rFonts w:ascii="Times New Roman" w:eastAsia="Times New Roman" w:hAnsi="Times New Roman" w:cs="Times New Roman"/>
          <w:sz w:val="24"/>
          <w:szCs w:val="26"/>
          <w:lang w:bidi="ru-RU"/>
        </w:rPr>
        <w:t>тив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ные границы»).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5B7409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Использование и установка светоотражающих материалов на спасательные средства </w:t>
      </w:r>
    </w:p>
    <w:p w:rsidR="005B7409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102 сессия КБМ одобрила резолюцию MSC.481 (102) по Пересмотренному использованию и установке светоотражающих материалов на спасательных средствах. 101 сессия КБМ рассмотрела проект поправок </w:t>
      </w:r>
      <w:r w:rsidR="009955A6">
        <w:rPr>
          <w:rFonts w:ascii="Times New Roman" w:eastAsia="Times New Roman" w:hAnsi="Times New Roman" w:cs="Times New Roman"/>
          <w:sz w:val="24"/>
          <w:szCs w:val="26"/>
          <w:lang w:bidi="ru-RU"/>
        </w:rPr>
        <w:t>к резолюции Ассамблеи A.658(16)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>по И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спользованию и установке светоотражающих материалов на спасательные средства для обеспечения применения новейших технологий для ускоренных испытани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>й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воздействием атмосферных условий на светоотражающие материалы путем удаления из пункта 4.10 термина «дуга между угольными электродами», поскольку этот термин ускоренного воздействия солнечных лучей используется редко и вместо угольной дуги приме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>няются другие источники света.</w:t>
      </w:r>
    </w:p>
    <w:p w:rsidR="005B7409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31 сессия Ассамблеи не смогла достичь соглашения о том, как наилучшим образом уточнить время воздействия на светоотражающие материалы для других типов ламп, кроме угольной дуги. В связи с этим, Ассамблея вернулась к рассмотрению этого вопроса на 102 сессии КБМ. 102 сессия КБМ призвала 32 сессию Ассамблеи учесть принятие резолюции КБМ и отозвать существующую резолюцию A.658(16) соответственно. 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5B7409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Непредвиденная задержка поставки судов вследствие пандемии КОВИД-19 </w:t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 результате пандемии </w:t>
      </w:r>
      <w:r w:rsidR="00BF21E7">
        <w:rPr>
          <w:rFonts w:ascii="Times New Roman" w:eastAsia="Times New Roman" w:hAnsi="Times New Roman" w:cs="Times New Roman"/>
          <w:sz w:val="24"/>
          <w:szCs w:val="26"/>
          <w:lang w:bidi="ru-RU"/>
        </w:rPr>
        <w:t>КОВИД-19</w:t>
      </w:r>
      <w:r w:rsidR="00BF21E7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судостроители и связанные с ними цепочки поставщиков потерпели убытки, которые привели к трудностям в осуществлении нормальной работы и задержкам различной степени 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при поставке строящихся судов.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 частности, эта ситуация сильно повлияла на суда, первоначально планировавшиеся к поставке до 1 июля 2020 г., которые не были спроектированы и построены в соответствии с требованиями правила II-1/3-10 Конвенции СОЛАС (Целевые стандарты постройки для навалочных судов и нефтеналивных танкеров). </w:t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В соответствии с правилом II-1/3-10 Конвенции СОЛАС, принятым резолюцией MSC.290(87), следующие нефтеналивные танкеры и навалочные суда длиной 150 м и более, за исключением рудовозов и комбинированных судов, должны удовлетворять применимым требованиям по конструкции признанной организации или национальных стандартов Администрации в соответствии с функциональными требованиями Целевых стандартов конструкции навалочных судов и нефтеналивных танкеров (MSC.287(87)) -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Целевых стандартов: </w:t>
      </w:r>
    </w:p>
    <w:p w:rsidR="00696646" w:rsidRPr="00645164" w:rsidRDefault="00696646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контракт на постройку которых размещен 1 июля 2016 г. или после этой даты; </w:t>
      </w:r>
    </w:p>
    <w:p w:rsidR="00696646" w:rsidRPr="00645164" w:rsidRDefault="00696646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при отсутствии контракта на постройку, кили которых были заложены 1 июля 2017 г. или после этой даты; или </w:t>
      </w:r>
    </w:p>
    <w:p w:rsidR="00696646" w:rsidRPr="00645164" w:rsidRDefault="00696646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поставка которых назначена на 1 июля 2020 г. или после этой даты. </w:t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Циркуляр MSC.1/Circ.1247 по Унифицированным интерпретациям по непредвиденной задержк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е поставки судов была одобрена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83 сессии КБМ в отношении применимости правила II-1/3-2 Конвенции СОЛАС (Эксплуатационный стандарт по защитным покрытиям (PSPC)) к судам в случае не предвиденной задержки поставки и выхода ее из-под контроля судовладельца и строителя. </w:t>
      </w:r>
    </w:p>
    <w:p w:rsidR="00645164" w:rsidRDefault="00645164">
      <w:pPr>
        <w:rPr>
          <w:rFonts w:ascii="Times New Roman" w:eastAsia="Times New Roman" w:hAnsi="Times New Roman" w:cs="Times New Roman"/>
          <w:sz w:val="24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6"/>
          <w:lang w:bidi="ru-RU"/>
        </w:rPr>
        <w:br w:type="page"/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 xml:space="preserve">Циркуляр КБМ сыграл положительную роль во внедрении требований PSPC Администрациями и индустрией. </w:t>
      </w:r>
    </w:p>
    <w:p w:rsidR="004867CF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На основании упомянутого выше обсуждения</w:t>
      </w:r>
      <w:r w:rsidR="00BB2A75" w:rsidRPr="006B61DB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6E6472">
        <w:rPr>
          <w:rFonts w:ascii="Times New Roman" w:eastAsia="Times New Roman" w:hAnsi="Times New Roman" w:cs="Times New Roman"/>
          <w:sz w:val="24"/>
          <w:szCs w:val="26"/>
          <w:lang w:bidi="ru-RU"/>
        </w:rPr>
        <w:t>предполагается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, что характер применения правила II-1/3-10 Конвенции СОЛАС к непредвиденной задержке поставки судов аналогичен указанному в правиле II-1/3-2 Конвенции СОЛАС и, таким образом, принципы, изложенные в циркуляре MSC.1/Circ.1247, должны также применяться к правилу II-1/3-10 Конвенции СОЛАС с учетом непредвиденной задержки поставки судов, как указывается в пункте 3 выше, т.е. судно может быть принято Администрацией как судно, поставленное до 1 июля 2020 г., с условием точной оценки и соблюдения соответствующих процедур.</w:t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В этой связи был одобрен циркуляр MSC.1/Circ.1638 по Унифицированной интерпретации правила II-1/3-10 Конвенции СОЛАС в отношении термина «непредвиде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нная задержка поставки судов».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Рассмотрев предложенный проект циркуляра КБМ по Унифицированной интерпретации правила II- 1/3-10 Конвенции СОЛАС в отношении термина 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>«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непредвиденная задержка поставки судов» (MSC 102/7/5, приложение), Комитет согласился, что срок действия предлагаемой интерпретации не должен быть неоп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ределенным, и изменил название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циркуляра для четкого указания того, что он применяется во время панд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>емии коронавируса (КОВИД-19).</w:t>
      </w:r>
    </w:p>
    <w:p w:rsidR="00376C42" w:rsidRPr="00645164" w:rsidRDefault="00376C42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</w:p>
    <w:p w:rsidR="00A84527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Руководство по дистанционным освидетельствованиям </w:t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 условиях последних достижений различных методов проведения дистанционных освидетельствований, вызванных новаторскими разработками и технологиями передачи данных, а также вследствие невозможности посещения судов инспекторами вследствие ограничений, вызванных пандемией КОВИД-19, дистанционные освидетельствования, с разрешения государств флага, в настоящее </w:t>
      </w:r>
      <w:r w:rsidR="0012734E">
        <w:rPr>
          <w:rFonts w:ascii="Times New Roman" w:eastAsia="Times New Roman" w:hAnsi="Times New Roman" w:cs="Times New Roman"/>
          <w:sz w:val="24"/>
          <w:szCs w:val="26"/>
          <w:lang w:bidi="ru-RU"/>
        </w:rPr>
        <w:t>время применяются все чаще; что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увеличивает потребность их систем</w:t>
      </w:r>
      <w:r w:rsidR="006E6472">
        <w:rPr>
          <w:rFonts w:ascii="Times New Roman" w:eastAsia="Times New Roman" w:hAnsi="Times New Roman" w:cs="Times New Roman"/>
          <w:sz w:val="24"/>
          <w:szCs w:val="26"/>
          <w:lang w:bidi="ru-RU"/>
        </w:rPr>
        <w:t>ного внедрения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. </w:t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ИМО, Циркулярным письмом № 4204/Add.19, были разработаны Руководящие принципы предоставления технических рекомендаций и рекомендаций по внедрению дистанционных освидетельствований государствам флага при рассмотрении </w:t>
      </w:r>
      <w:r w:rsidR="006E6472">
        <w:rPr>
          <w:rFonts w:ascii="Times New Roman" w:eastAsia="Times New Roman" w:hAnsi="Times New Roman" w:cs="Times New Roman"/>
          <w:sz w:val="24"/>
          <w:szCs w:val="26"/>
          <w:lang w:bidi="ru-RU"/>
        </w:rPr>
        <w:t>возможности продления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конвенционного свидетельства</w:t>
      </w:r>
      <w:r w:rsidR="006E6472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на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срок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>,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6E5814">
        <w:rPr>
          <w:rFonts w:ascii="Times New Roman" w:eastAsia="Times New Roman" w:hAnsi="Times New Roman" w:cs="Times New Roman"/>
          <w:sz w:val="24"/>
          <w:szCs w:val="26"/>
          <w:lang w:bidi="ru-RU"/>
        </w:rPr>
        <w:t>превыша</w:t>
      </w:r>
      <w:r w:rsidR="006E6472">
        <w:rPr>
          <w:rFonts w:ascii="Times New Roman" w:eastAsia="Times New Roman" w:hAnsi="Times New Roman" w:cs="Times New Roman"/>
          <w:sz w:val="24"/>
          <w:szCs w:val="26"/>
          <w:lang w:bidi="ru-RU"/>
        </w:rPr>
        <w:t>ющий</w:t>
      </w:r>
      <w:r w:rsidR="006E581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3 месяца.</w:t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 частности, пункт 4 Руководящих принципов «Использование подтверждающих требований, основанных на принятых освидетельствованиях (разработанных индивидуально каждым классификационным обществом/ПО)», открывает возможность проведения дистанционных освидетельствований, разрешая инспекторам ПО использовать процедуры и/или методы, 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самостоятельно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разработанные признанными организациями/ПО. </w:t>
      </w:r>
    </w:p>
    <w:p w:rsidR="00696646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Только несколько государств флага явно разрешили или упомянули проведение дистанционных освидетельствований в своих руководствах. Одновременно с этим, отсутствие единообразного подхода к дистанционным освидетельствованиям 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может стать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не только обременительн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>ым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для судовладельцев и судовых экипажей, но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под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>орвать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доверие к качеству освидетельствований и объективности среди 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>всех участников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. </w:t>
      </w:r>
    </w:p>
    <w:p w:rsidR="00E24C89" w:rsidRPr="00645164" w:rsidRDefault="00C06630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Предлага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>лось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на 102 сессии КБМ рассмотреть необходимость разработки руководства по внедрению дистанционных освидетельствований. Было согласовано, что следует 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>разработать</w:t>
      </w:r>
      <w:r w:rsidR="00CD042A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руководство по проведению дистанционных освидетельствований. 102 сессия КБМ призвала государства-участники и международные организации представить </w:t>
      </w:r>
      <w:r w:rsidR="00424E4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соответствующее </w:t>
      </w:r>
      <w:r w:rsidR="00CD042A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предложение для включения в план работы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на следующую сессию Комитета.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102 сессия КБМ приняла следующие резолюции: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Резолюция MSC.474(102) по Поправкам к главе II-1 МК СОЛАС в отношении буксирного и швартовного оборудования и </w:t>
      </w:r>
      <w:r w:rsidR="00A571B1">
        <w:rPr>
          <w:rFonts w:ascii="Times New Roman" w:eastAsia="Times New Roman" w:hAnsi="Times New Roman" w:cs="Times New Roman"/>
          <w:sz w:val="24"/>
          <w:szCs w:val="26"/>
          <w:lang w:bidi="ru-RU"/>
        </w:rPr>
        <w:t>водо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непроницаемости;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Резолюция MSC.475(102), вносящая поправки в разделы 6 (Система хранения топлива), 11 (Пожарная безопасность) и 16 (Изготовление, качество изготовления и испытания) Кодекса IGF, касающиеся правил для системы сброса давления и систем пожаротушения помещения для подготовки топлива, а также сварки металлических материалов и неразрушающих испытаний системы хранения топлива;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Резолюция MSC.476(102), вносящая поправки в главу 6 (Материалы </w:t>
      </w:r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постройки и контроль качества)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Кодекса IGC, касающиеся испытаний процедуры сварки в грузовых танках и технологических камерах под давлением;</w:t>
      </w:r>
    </w:p>
    <w:p w:rsidR="00425BAA" w:rsidRPr="00645164" w:rsidRDefault="00425BAA" w:rsidP="00A43150">
      <w:pPr>
        <w:ind w:firstLine="708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Резолюция MSC.477(102) - Поправка 40-20 к Кодексу IMDG;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- Резолюция</w:t>
      </w:r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MSC 479(102) – Пересмотренное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Руководство по крепежным приспособлениям при транспортировке транспортных средств на судах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(A.581(14), с поправками);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Резолюция MSC.429(98)/Rev.2,</w:t>
      </w:r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Пересмотренные пояснительные </w:t>
      </w:r>
      <w:r w:rsidR="00A571B1">
        <w:rPr>
          <w:rFonts w:ascii="Times New Roman" w:eastAsia="Times New Roman" w:hAnsi="Times New Roman" w:cs="Times New Roman"/>
          <w:sz w:val="24"/>
          <w:szCs w:val="26"/>
          <w:lang w:bidi="ru-RU"/>
        </w:rPr>
        <w:t>записки</w:t>
      </w:r>
      <w:r w:rsidR="00A571B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к главе II-1 Конвенции СОЛАС в отношении правил деления на отсеки и остойчивость в поврежденном состоянии (Пересмотренные пояснительные замечания);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Резолюция MSC.429(98)/Rev.1, последующие поправки к Пересмотренным пояснительным </w:t>
      </w:r>
      <w:r w:rsidR="00A571B1">
        <w:rPr>
          <w:rFonts w:ascii="Times New Roman" w:eastAsia="Times New Roman" w:hAnsi="Times New Roman" w:cs="Times New Roman"/>
          <w:sz w:val="24"/>
          <w:szCs w:val="26"/>
          <w:lang w:bidi="ru-RU"/>
        </w:rPr>
        <w:t>запискам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к главе II-1 СОЛАС в отношении правил деления на отсеки и остойчивости в поврежденном состоянии;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Резолюция MSC.62(67)/Rev.1 - Пересмотренное Руководство по безопасному доступу на носовую часть танкеров;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Резолюцию MSC.481 (102) по Пересмотренному использованию и установке светоотражающих материалов на спасательных средствах.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102 сессия КБМ одобрила следующие циркуляры: </w:t>
      </w:r>
    </w:p>
    <w:p w:rsidR="00425BAA" w:rsidRPr="00645164" w:rsidRDefault="00425BAA" w:rsidP="00645164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КБМ по добровольному раннему внедрению поправок к правилу II-1/12.6.2 Конвенции СОЛАС; </w:t>
      </w:r>
    </w:p>
    <w:p w:rsidR="00425BAA" w:rsidRPr="00645164" w:rsidRDefault="00425BAA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MSC.1/Circ.1619 по Пересмотренным процедурам аварийного реагирования для судов, перевозящих опасные грузы (MSC.1</w:t>
      </w:r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/Circ.1588) (Руководство </w:t>
      </w:r>
      <w:proofErr w:type="spellStart"/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>EmS</w:t>
      </w:r>
      <w:proofErr w:type="spellEnd"/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>);</w:t>
      </w:r>
    </w:p>
    <w:p w:rsidR="003B426D" w:rsidRPr="00645164" w:rsidRDefault="00425BAA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MSC.1/Circ.1620 в отношении Руководства по проектированию швартовного оборудования и выбору соответствующего швартовного оборудования и креплений для безопасной швартовки;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MSC.1/Circ.1621 в отношении Руководства по осмотру и техническому обслуживанию </w:t>
      </w:r>
      <w:r w:rsidR="00A571B1">
        <w:rPr>
          <w:rFonts w:ascii="Times New Roman" w:eastAsia="Times New Roman" w:hAnsi="Times New Roman" w:cs="Times New Roman"/>
          <w:sz w:val="24"/>
          <w:szCs w:val="26"/>
          <w:lang w:bidi="ru-RU"/>
        </w:rPr>
        <w:t>швартовного</w:t>
      </w:r>
      <w:r w:rsidR="00A571B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оборудования, включая швартовы;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MSC.1/Circ.1175/Rev.1 по Пересмотренному руководству по судовому буксирному и швартовному оборудованию;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MSC.1/Circ.1622 по 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>Временному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руководству по безопасности судов, использующих метиловый/этиловый спирт в качестве топлива;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MSC.1/Circ.1623 по Руководству по приемке альтернативных металлических материалов </w:t>
      </w:r>
      <w:r w:rsidR="00A571B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для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эксплуатаци</w:t>
      </w:r>
      <w:r w:rsidR="00A571B1">
        <w:rPr>
          <w:rFonts w:ascii="Times New Roman" w:eastAsia="Times New Roman" w:hAnsi="Times New Roman" w:cs="Times New Roman"/>
          <w:sz w:val="24"/>
          <w:szCs w:val="26"/>
          <w:lang w:bidi="ru-RU"/>
        </w:rPr>
        <w:t>и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условиях низких и сверхнизких температур на судах, перевозящих сжиженные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газы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наливом и судах, использующих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газы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или другие виды топлива с низкой температурой вспышки;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MSC.1/Circ.1599/Rev.1 -</w:t>
      </w:r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Пересмотренное 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Временное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руководство по применению Пересмотренного временного руководства по применению высокомарганцовистой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аустенитной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стали для эксплуатаци</w:t>
      </w:r>
      <w:r w:rsidR="003F6031">
        <w:rPr>
          <w:rFonts w:ascii="Times New Roman" w:eastAsia="Times New Roman" w:hAnsi="Times New Roman" w:cs="Times New Roman"/>
          <w:sz w:val="24"/>
          <w:szCs w:val="26"/>
          <w:lang w:bidi="ru-RU"/>
        </w:rPr>
        <w:t>и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в условиях низких и сверхнизких температур (MSC.1/Circ.1599);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MSC.1/Circ.1624 в отношении поправок к Кодексу безопасной практики размещения и крепления груза (Кодексу CSS);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MSC.1/Circ.1353/Rev.2 - Пересмотренное руководство по подготовке Руководства по креплению грузов (MSC.1/Circ.1353/Rev.1);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MSC.1/Circ.1625 - Поправки к Кодексу безопасной практики для судов, перевозящих лесной палубный груз, 2011 (Кодекс TDC 2011);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MSC.1/Circ.1628 по Временному руководству по критериям остойчивости второго поколения</w:t>
      </w:r>
      <w:r w:rsidR="00424E4D" w:rsidRPr="00424E4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24E4D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для </w:t>
      </w:r>
      <w:r w:rsidR="00424E4D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неповрежденного судна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Пересмотренный циркуляр MSC-MEPC.5/Circ.7 по Руководству по своевременной замене существующих свидетельств пересмотренными свидетельствами;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PPR.1/Circ.9 по Пересмотренным требованиям к перевозке метил акрилата и метил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метакрилата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MSC.1/Circ.1430/Rev.2 по Пересмотренному руководству по проектированию и одобрению стационарных систем водяного пожаротушения помещений </w:t>
      </w:r>
      <w:proofErr w:type="spellStart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ро-ро</w:t>
      </w:r>
      <w:proofErr w:type="spellEnd"/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помещений специальной категории;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MSC.1/Circ.1629 по Пересмотренной стандартизированной оценке спасательных средств и формам отчета об испытаниях (индивидуальных спасательных средств);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- Циркуляр MSC.1/Circ.1630 по Пересмотренной стандартизированной оценке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(знаки визуальной информации);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- Циркуляр MSC.1/Circ.1631 по Пересмотренной стандартизированной оценке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(спасательные суда);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MSC.1/Circ.1632 по Пересмотренной стандартизированной оценке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спасательных средств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и формам отчета об испытаниях (дежурные шлюпки);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MSC.1/Circ.1633 по Пересмотренной стандартизированной оценке</w:t>
      </w:r>
      <w:r w:rsid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(спусковые и посадочные устройства);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- Циркуляр MSC.1/Circ.1634 по Пересмотренной стандартизированной оценке</w:t>
      </w:r>
      <w:r w:rsidR="004E0C71" w:rsidRPr="004E0C71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E0C71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спасательных средств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 формам отчета об испытаниях (другие спасательные средства);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MSC.1/Circ.1638 по Унифицированной интерпретации правила II-1/3-10 Конвенции СОЛАС в отношении термина «непредвиденная задержка поставки судов».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B426D" w:rsidRPr="00645164" w:rsidRDefault="00425BAA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102 сессия КБМ одобрила следующие Унифицированные интерпретации: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MSC.1/Circ.1626 - Циркуляр по Унифицированным интерпретациям Кодекса IGC;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MSC.1/Circ.1627 - Унифицированная интерпретация Кодекса IMDG; </w:t>
      </w:r>
    </w:p>
    <w:p w:rsidR="003B426D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Циркуляр MSC.1/Circ.1572/Rev.1, вносящий поправки в раздел 3 Унифицированных интерпретаций глав II-1 и XII Конвенции СОЛАС в отношении средств доступа для проведения осмотров (MSC.158(78)) и Эксплуатационные стандарты для указателей уровня воды на навалочных судах и грузовых судах с одним трюмом, не являющихся навалочными судами (MSC.188(79)); </w:t>
      </w:r>
    </w:p>
    <w:p w:rsidR="00425BAA" w:rsidRPr="00645164" w:rsidRDefault="003B426D" w:rsidP="00425B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- </w:t>
      </w:r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Циркуляр 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MSC.1/Circ.163</w:t>
      </w:r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>5 по Унифицированным</w:t>
      </w:r>
      <w:r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интерпретациям главы II-2 МК СОЛАС в отношении интерпретации правила II-2/9 («</w:t>
      </w:r>
      <w:r w:rsidR="00424E4D">
        <w:rPr>
          <w:rFonts w:ascii="Times New Roman" w:eastAsia="Times New Roman" w:hAnsi="Times New Roman" w:cs="Times New Roman"/>
          <w:sz w:val="24"/>
          <w:szCs w:val="26"/>
          <w:lang w:bidi="ru-RU"/>
        </w:rPr>
        <w:t>Локализация</w:t>
      </w:r>
      <w:r w:rsidR="00424E4D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</w:t>
      </w:r>
      <w:r w:rsidR="00424E4D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пожара, тепло</w:t>
      </w:r>
      <w:r w:rsidR="00424E4D">
        <w:rPr>
          <w:rFonts w:ascii="Times New Roman" w:eastAsia="Times New Roman" w:hAnsi="Times New Roman" w:cs="Times New Roman"/>
          <w:sz w:val="24"/>
          <w:szCs w:val="26"/>
          <w:lang w:bidi="ru-RU"/>
        </w:rPr>
        <w:t>изолированн</w:t>
      </w:r>
      <w:r w:rsidR="00424E4D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ые и конструк</w:t>
      </w:r>
      <w:r w:rsidR="00424E4D">
        <w:rPr>
          <w:rFonts w:ascii="Times New Roman" w:eastAsia="Times New Roman" w:hAnsi="Times New Roman" w:cs="Times New Roman"/>
          <w:sz w:val="24"/>
          <w:szCs w:val="26"/>
          <w:lang w:bidi="ru-RU"/>
        </w:rPr>
        <w:t>тив</w:t>
      </w:r>
      <w:r w:rsidR="00424E4D" w:rsidRPr="00645164">
        <w:rPr>
          <w:rFonts w:ascii="Times New Roman" w:eastAsia="Times New Roman" w:hAnsi="Times New Roman" w:cs="Times New Roman"/>
          <w:sz w:val="24"/>
          <w:szCs w:val="26"/>
          <w:lang w:bidi="ru-RU"/>
        </w:rPr>
        <w:t>ные границы</w:t>
      </w:r>
      <w:bookmarkStart w:id="0" w:name="_GoBack"/>
      <w:bookmarkEnd w:id="0"/>
      <w:r w:rsidR="00FB57A0">
        <w:rPr>
          <w:rFonts w:ascii="Times New Roman" w:eastAsia="Times New Roman" w:hAnsi="Times New Roman" w:cs="Times New Roman"/>
          <w:sz w:val="24"/>
          <w:szCs w:val="26"/>
          <w:lang w:bidi="ru-RU"/>
        </w:rPr>
        <w:t>»).</w:t>
      </w:r>
    </w:p>
    <w:p w:rsidR="00425BAA" w:rsidRPr="00645164" w:rsidRDefault="00425BAA" w:rsidP="00BC2D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sectPr w:rsidR="00425BAA" w:rsidRPr="00645164" w:rsidSect="006451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0"/>
    <w:rsid w:val="00003F4A"/>
    <w:rsid w:val="00013BD7"/>
    <w:rsid w:val="00091DE6"/>
    <w:rsid w:val="000D0E22"/>
    <w:rsid w:val="00112E66"/>
    <w:rsid w:val="0012734E"/>
    <w:rsid w:val="001474C6"/>
    <w:rsid w:val="00167513"/>
    <w:rsid w:val="001710F8"/>
    <w:rsid w:val="001B4691"/>
    <w:rsid w:val="001B57EE"/>
    <w:rsid w:val="001E53FB"/>
    <w:rsid w:val="001F6690"/>
    <w:rsid w:val="0024730E"/>
    <w:rsid w:val="002A1D3B"/>
    <w:rsid w:val="002B36B4"/>
    <w:rsid w:val="002B3E6D"/>
    <w:rsid w:val="003363BD"/>
    <w:rsid w:val="00341B1D"/>
    <w:rsid w:val="003762C7"/>
    <w:rsid w:val="00376C42"/>
    <w:rsid w:val="003A447D"/>
    <w:rsid w:val="003B426D"/>
    <w:rsid w:val="003F128D"/>
    <w:rsid w:val="003F6031"/>
    <w:rsid w:val="00424E4D"/>
    <w:rsid w:val="00425BAA"/>
    <w:rsid w:val="00435012"/>
    <w:rsid w:val="004867CF"/>
    <w:rsid w:val="004A5B88"/>
    <w:rsid w:val="004B2F50"/>
    <w:rsid w:val="004C1B83"/>
    <w:rsid w:val="004E0C71"/>
    <w:rsid w:val="005140F6"/>
    <w:rsid w:val="00532940"/>
    <w:rsid w:val="00547BA7"/>
    <w:rsid w:val="00583520"/>
    <w:rsid w:val="005B36C4"/>
    <w:rsid w:val="005B7409"/>
    <w:rsid w:val="005F6881"/>
    <w:rsid w:val="006300BF"/>
    <w:rsid w:val="00645164"/>
    <w:rsid w:val="00652D18"/>
    <w:rsid w:val="00696646"/>
    <w:rsid w:val="006B61DB"/>
    <w:rsid w:val="006C2AB5"/>
    <w:rsid w:val="006E5814"/>
    <w:rsid w:val="006E6472"/>
    <w:rsid w:val="00714C02"/>
    <w:rsid w:val="007427C4"/>
    <w:rsid w:val="00747922"/>
    <w:rsid w:val="007C74FD"/>
    <w:rsid w:val="007D6545"/>
    <w:rsid w:val="00802FA0"/>
    <w:rsid w:val="0083264D"/>
    <w:rsid w:val="00876038"/>
    <w:rsid w:val="008A3CEB"/>
    <w:rsid w:val="00936C2A"/>
    <w:rsid w:val="009949FD"/>
    <w:rsid w:val="009955A6"/>
    <w:rsid w:val="009A75EC"/>
    <w:rsid w:val="009B68AC"/>
    <w:rsid w:val="00A02940"/>
    <w:rsid w:val="00A33EE8"/>
    <w:rsid w:val="00A43150"/>
    <w:rsid w:val="00A438D9"/>
    <w:rsid w:val="00A5035E"/>
    <w:rsid w:val="00A571B1"/>
    <w:rsid w:val="00A77186"/>
    <w:rsid w:val="00A81EB8"/>
    <w:rsid w:val="00A84527"/>
    <w:rsid w:val="00AD3398"/>
    <w:rsid w:val="00AD6224"/>
    <w:rsid w:val="00AE23D9"/>
    <w:rsid w:val="00B002E2"/>
    <w:rsid w:val="00B018D8"/>
    <w:rsid w:val="00B25D3E"/>
    <w:rsid w:val="00B95990"/>
    <w:rsid w:val="00B97AA1"/>
    <w:rsid w:val="00BB2A75"/>
    <w:rsid w:val="00BC2160"/>
    <w:rsid w:val="00BC2D54"/>
    <w:rsid w:val="00BE2A09"/>
    <w:rsid w:val="00BF21E7"/>
    <w:rsid w:val="00C0384F"/>
    <w:rsid w:val="00C06630"/>
    <w:rsid w:val="00C376E2"/>
    <w:rsid w:val="00CD042A"/>
    <w:rsid w:val="00CD1194"/>
    <w:rsid w:val="00CF186E"/>
    <w:rsid w:val="00D01084"/>
    <w:rsid w:val="00D22DD0"/>
    <w:rsid w:val="00D22ED9"/>
    <w:rsid w:val="00D74C05"/>
    <w:rsid w:val="00DA17C4"/>
    <w:rsid w:val="00E24C89"/>
    <w:rsid w:val="00F50773"/>
    <w:rsid w:val="00F91D1B"/>
    <w:rsid w:val="00FB0CA0"/>
    <w:rsid w:val="00FB57A0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1209"/>
  <w15:docId w15:val="{46EACDC1-03A5-492B-84F4-8F0D6922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630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8326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26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26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26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264D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3264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3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750D-4B56-4443-AF40-E5365861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Мусонов Михаил Владимирович</cp:lastModifiedBy>
  <cp:revision>3</cp:revision>
  <dcterms:created xsi:type="dcterms:W3CDTF">2020-12-28T13:03:00Z</dcterms:created>
  <dcterms:modified xsi:type="dcterms:W3CDTF">2020-12-28T13:07:00Z</dcterms:modified>
</cp:coreProperties>
</file>